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outlineLvl w:val="0"/>
        <w:rPr>
          <w:rFonts w:hint="eastAsia" w:ascii="黑体" w:hAnsi="黑体" w:eastAsia="黑体" w:cs="黑体"/>
          <w:sz w:val="32"/>
          <w:szCs w:val="32"/>
        </w:rPr>
      </w:pPr>
      <w:bookmarkStart w:id="0" w:name="_Toc24518"/>
      <w:bookmarkStart w:id="1" w:name="_Toc1685"/>
      <w:bookmarkStart w:id="2" w:name="_Toc10942"/>
      <w:bookmarkStart w:id="3" w:name="_Toc4840"/>
      <w:r>
        <w:rPr>
          <w:rFonts w:hint="eastAsia" w:ascii="黑体" w:hAnsi="黑体" w:eastAsia="黑体" w:cs="黑体"/>
          <w:sz w:val="32"/>
          <w:szCs w:val="32"/>
        </w:rPr>
        <w:t>附件12</w:t>
      </w:r>
    </w:p>
    <w:p>
      <w:pPr>
        <w:snapToGrid w:val="0"/>
        <w:spacing w:line="560" w:lineRule="exact"/>
        <w:jc w:val="left"/>
        <w:outlineLvl w:val="0"/>
        <w:rPr>
          <w:rFonts w:eastAsia="黑体"/>
          <w:sz w:val="28"/>
          <w:szCs w:val="28"/>
        </w:rPr>
      </w:pPr>
    </w:p>
    <w:p>
      <w:pPr>
        <w:snapToGrid w:val="0"/>
        <w:spacing w:line="560" w:lineRule="exact"/>
        <w:jc w:val="center"/>
        <w:outlineLvl w:val="0"/>
        <w:rPr>
          <w:rFonts w:eastAsia="方正小标宋简体"/>
          <w:sz w:val="44"/>
          <w:szCs w:val="44"/>
        </w:rPr>
      </w:pPr>
      <w:r>
        <w:rPr>
          <w:rFonts w:eastAsia="方正小标宋简体"/>
          <w:sz w:val="44"/>
          <w:szCs w:val="44"/>
        </w:rPr>
        <w:t>海南省第</w:t>
      </w:r>
      <w:r>
        <w:rPr>
          <w:rFonts w:hint="eastAsia" w:eastAsia="方正小标宋简体"/>
          <w:color w:val="auto"/>
          <w:sz w:val="44"/>
          <w:szCs w:val="44"/>
          <w:highlight w:val="none"/>
          <w:lang w:val="en-US" w:eastAsia="zh-CN"/>
        </w:rPr>
        <w:t>七</w:t>
      </w:r>
      <w:r>
        <w:rPr>
          <w:rFonts w:eastAsia="方正小标宋简体"/>
          <w:sz w:val="44"/>
          <w:szCs w:val="44"/>
        </w:rPr>
        <w:t>届运动会游泳项目竞赛规程</w:t>
      </w:r>
      <w:bookmarkEnd w:id="0"/>
      <w:bookmarkEnd w:id="1"/>
      <w:bookmarkEnd w:id="2"/>
      <w:bookmarkEnd w:id="3"/>
    </w:p>
    <w:p>
      <w:pPr>
        <w:snapToGrid w:val="0"/>
        <w:spacing w:line="560" w:lineRule="exact"/>
        <w:jc w:val="center"/>
        <w:outlineLvl w:val="0"/>
        <w:rPr>
          <w:rFonts w:eastAsia="仿宋_GB2312"/>
          <w:b/>
          <w:bCs/>
          <w:sz w:val="52"/>
          <w:szCs w:val="5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eastAsia="黑体"/>
          <w:bCs/>
          <w:sz w:val="32"/>
          <w:szCs w:val="32"/>
        </w:rPr>
      </w:pPr>
      <w:r>
        <w:rPr>
          <w:rFonts w:eastAsia="黑体"/>
          <w:bCs/>
          <w:sz w:val="32"/>
          <w:szCs w:val="32"/>
        </w:rPr>
        <w:t>一、竞赛日期和地点</w:t>
      </w:r>
    </w:p>
    <w:p>
      <w:pPr>
        <w:autoSpaceDE w:val="0"/>
        <w:autoSpaceDN w:val="0"/>
        <w:adjustRightInd w:val="0"/>
        <w:snapToGrid w:val="0"/>
        <w:spacing w:line="560" w:lineRule="exact"/>
        <w:ind w:firstLine="640" w:firstLineChars="200"/>
        <w:jc w:val="both"/>
        <w:rPr>
          <w:rFonts w:hint="eastAsia" w:eastAsia="仿宋_GB2312"/>
          <w:kern w:val="0"/>
          <w:sz w:val="32"/>
          <w:szCs w:val="32"/>
          <w:lang w:val="en-US" w:eastAsia="zh-CN"/>
        </w:rPr>
      </w:pPr>
      <w:r>
        <w:rPr>
          <w:rFonts w:hint="eastAsia" w:ascii="楷体_GB2312" w:hAnsi="楷体_GB2312" w:eastAsia="楷体_GB2312" w:cs="楷体_GB2312"/>
          <w:kern w:val="0"/>
          <w:sz w:val="32"/>
          <w:szCs w:val="32"/>
        </w:rPr>
        <w:t>（一）</w:t>
      </w:r>
      <w:r>
        <w:rPr>
          <w:rFonts w:eastAsia="仿宋_GB2312"/>
          <w:kern w:val="0"/>
          <w:sz w:val="32"/>
          <w:szCs w:val="32"/>
        </w:rPr>
        <w:t>时间：</w:t>
      </w:r>
      <w:r>
        <w:rPr>
          <w:rFonts w:hint="eastAsia" w:ascii="仿宋_GB2312" w:hAnsi="仿宋_GB2312" w:eastAsia="仿宋_GB2312" w:cs="仿宋_GB2312"/>
          <w:kern w:val="0"/>
          <w:sz w:val="32"/>
          <w:szCs w:val="32"/>
        </w:rPr>
        <w:t>2026年8月（具体时间待定）</w:t>
      </w:r>
    </w:p>
    <w:p>
      <w:pPr>
        <w:autoSpaceDE w:val="0"/>
        <w:autoSpaceDN w:val="0"/>
        <w:adjustRightInd w:val="0"/>
        <w:snapToGrid w:val="0"/>
        <w:spacing w:line="560" w:lineRule="exact"/>
        <w:ind w:firstLine="640" w:firstLineChars="200"/>
        <w:jc w:val="both"/>
        <w:rPr>
          <w:rFonts w:hint="eastAsia" w:eastAsia="仿宋_GB2312"/>
          <w:kern w:val="0"/>
          <w:sz w:val="32"/>
          <w:szCs w:val="32"/>
          <w:lang w:eastAsia="zh-CN"/>
        </w:rPr>
      </w:pPr>
      <w:r>
        <w:rPr>
          <w:rFonts w:hint="eastAsia" w:ascii="楷体_GB2312" w:hAnsi="楷体_GB2312" w:eastAsia="楷体_GB2312" w:cs="楷体_GB2312"/>
          <w:kern w:val="0"/>
          <w:sz w:val="32"/>
          <w:szCs w:val="32"/>
        </w:rPr>
        <w:t>（二）</w:t>
      </w:r>
      <w:r>
        <w:rPr>
          <w:rFonts w:eastAsia="仿宋_GB2312"/>
          <w:kern w:val="0"/>
          <w:sz w:val="32"/>
          <w:szCs w:val="32"/>
        </w:rPr>
        <w:t>地点：</w:t>
      </w:r>
      <w:r>
        <w:rPr>
          <w:rFonts w:hint="eastAsia" w:eastAsia="仿宋_GB2312"/>
          <w:kern w:val="0"/>
          <w:sz w:val="32"/>
          <w:szCs w:val="32"/>
          <w:lang w:eastAsia="zh-CN"/>
        </w:rPr>
        <w:t>琼海市</w:t>
      </w:r>
    </w:p>
    <w:p>
      <w:pPr>
        <w:autoSpaceDE w:val="0"/>
        <w:autoSpaceDN w:val="0"/>
        <w:adjustRightInd w:val="0"/>
        <w:snapToGrid w:val="0"/>
        <w:spacing w:line="560" w:lineRule="exact"/>
        <w:ind w:firstLine="640" w:firstLineChars="200"/>
        <w:jc w:val="both"/>
        <w:rPr>
          <w:rFonts w:eastAsia="黑体"/>
          <w:bCs/>
          <w:sz w:val="32"/>
          <w:szCs w:val="32"/>
        </w:rPr>
      </w:pPr>
      <w:r>
        <w:rPr>
          <w:rFonts w:eastAsia="黑体"/>
          <w:kern w:val="0"/>
          <w:sz w:val="32"/>
          <w:szCs w:val="32"/>
        </w:rPr>
        <w:t>二、</w:t>
      </w:r>
      <w:r>
        <w:rPr>
          <w:rFonts w:eastAsia="黑体"/>
          <w:bCs/>
          <w:sz w:val="32"/>
          <w:szCs w:val="32"/>
        </w:rPr>
        <w:t>竞赛项目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eastAsia="楷体_GB2312"/>
          <w:sz w:val="32"/>
          <w:szCs w:val="32"/>
        </w:rPr>
      </w:pPr>
      <w:r>
        <w:rPr>
          <w:rFonts w:eastAsia="楷体_GB2312"/>
          <w:kern w:val="0"/>
          <w:sz w:val="32"/>
          <w:szCs w:val="32"/>
        </w:rPr>
        <w:t>（一）</w:t>
      </w:r>
      <w:r>
        <w:rPr>
          <w:rFonts w:hint="eastAsia" w:ascii="楷体_GB2312" w:hAnsi="楷体_GB2312" w:eastAsia="楷体_GB2312" w:cs="楷体_GB2312"/>
          <w:sz w:val="32"/>
          <w:szCs w:val="32"/>
        </w:rPr>
        <w:t>甲组（15-17岁）（28项）：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男子、女子自由泳：50米、100米、200米、400米，4×50米、4×100米接力</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男子、女子蛙泳：50米、100米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男子、女子仰泳：50米、100米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男子、女子蝶泳：50米、100米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男子、女子混合泳：个人200米，4×50米接力</w:t>
      </w:r>
    </w:p>
    <w:p>
      <w:pPr>
        <w:snapToGrid w:val="0"/>
        <w:spacing w:line="560" w:lineRule="exact"/>
        <w:ind w:hanging="10"/>
        <w:jc w:val="both"/>
        <w:rPr>
          <w:rFonts w:eastAsia="楷体_GB2312"/>
          <w:kern w:val="0"/>
          <w:sz w:val="32"/>
          <w:szCs w:val="32"/>
        </w:rPr>
      </w:pPr>
      <w:r>
        <w:rPr>
          <w:rFonts w:eastAsia="楷体_GB2312"/>
          <w:kern w:val="0"/>
          <w:sz w:val="32"/>
          <w:szCs w:val="32"/>
        </w:rPr>
        <w:t xml:space="preserve"> </w:t>
      </w:r>
      <w:r>
        <w:rPr>
          <w:rFonts w:hint="eastAsia" w:ascii="楷体_GB2312" w:hAnsi="楷体_GB2312" w:eastAsia="楷体_GB2312" w:cs="楷体_GB2312"/>
          <w:kern w:val="0"/>
          <w:sz w:val="32"/>
          <w:szCs w:val="32"/>
        </w:rPr>
        <w:t xml:space="preserve">   （二）乙组</w:t>
      </w:r>
      <w:r>
        <w:rPr>
          <w:rFonts w:hint="eastAsia" w:ascii="楷体_GB2312" w:hAnsi="楷体_GB2312" w:eastAsia="楷体_GB2312" w:cs="楷体_GB2312"/>
          <w:sz w:val="32"/>
          <w:szCs w:val="32"/>
        </w:rPr>
        <w:t>（12-14岁）（28项）：</w:t>
      </w:r>
    </w:p>
    <w:p>
      <w:pPr>
        <w:keepNext w:val="0"/>
        <w:keepLines w:val="0"/>
        <w:pageBreakBefore w:val="0"/>
        <w:widowControl w:val="0"/>
        <w:tabs>
          <w:tab w:val="left" w:pos="851"/>
        </w:tabs>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男子、女子自由泳：50米、100米、200米、400米，4×50米、4×100米接力</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男子、女子蛙泳：50米、100米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男子、女子仰泳：50米、100米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男子、女子蝶泳：50米、100米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男子、女子混合泳：个人200米、4×50米接力</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eastAsia="黑体"/>
          <w:bCs/>
          <w:sz w:val="32"/>
          <w:szCs w:val="32"/>
        </w:rPr>
      </w:pPr>
      <w:r>
        <w:rPr>
          <w:rFonts w:eastAsia="黑体"/>
          <w:bCs/>
          <w:sz w:val="32"/>
          <w:szCs w:val="32"/>
        </w:rPr>
        <w:t>三、参加单位</w:t>
      </w:r>
    </w:p>
    <w:p>
      <w:pPr>
        <w:keepNext w:val="0"/>
        <w:keepLines w:val="0"/>
        <w:pageBreakBefore w:val="0"/>
        <w:widowControl/>
        <w:kinsoku/>
        <w:wordWrap/>
        <w:overflowPunct/>
        <w:topLinePunct w:val="0"/>
        <w:autoSpaceDE w:val="0"/>
        <w:autoSpaceDN w:val="0"/>
        <w:bidi w:val="0"/>
        <w:adjustRightInd w:val="0"/>
        <w:snapToGrid/>
        <w:spacing w:before="0" w:after="0" w:line="576" w:lineRule="exact"/>
        <w:ind w:left="0" w:leftChars="0" w:right="0" w:firstLine="640" w:firstLineChars="200"/>
        <w:jc w:val="both"/>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由</w:t>
      </w:r>
      <w:r>
        <w:rPr>
          <w:rFonts w:hint="eastAsia" w:ascii="仿宋_GB2312" w:hAnsi="仿宋_GB2312" w:eastAsia="仿宋_GB2312" w:cs="仿宋_GB2312"/>
          <w:kern w:val="0"/>
          <w:sz w:val="32"/>
          <w:szCs w:val="32"/>
        </w:rPr>
        <w:t>各市、县、自治县人民政府</w:t>
      </w:r>
      <w:r>
        <w:rPr>
          <w:rFonts w:hint="eastAsia" w:ascii="仿宋_GB2312" w:hAnsi="仿宋_GB2312" w:eastAsia="仿宋_GB2312" w:cs="仿宋_GB2312"/>
          <w:kern w:val="0"/>
          <w:sz w:val="32"/>
          <w:szCs w:val="32"/>
          <w:lang w:eastAsia="zh-CN"/>
        </w:rPr>
        <w:t>组队参赛。</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eastAsia="黑体"/>
          <w:bCs/>
          <w:sz w:val="32"/>
          <w:szCs w:val="32"/>
        </w:rPr>
      </w:pPr>
      <w:r>
        <w:rPr>
          <w:rFonts w:eastAsia="黑体"/>
          <w:bCs/>
          <w:sz w:val="32"/>
          <w:szCs w:val="32"/>
        </w:rPr>
        <w:t>四、参加办法</w:t>
      </w:r>
    </w:p>
    <w:p>
      <w:pPr>
        <w:snapToGrid w:val="0"/>
        <w:spacing w:line="560" w:lineRule="exact"/>
        <w:jc w:val="both"/>
        <w:rPr>
          <w:rFonts w:eastAsia="楷体_GB2312"/>
          <w:kern w:val="0"/>
          <w:sz w:val="32"/>
          <w:szCs w:val="32"/>
        </w:rPr>
      </w:pPr>
      <w:r>
        <w:rPr>
          <w:rFonts w:hint="eastAsia" w:eastAsia="楷体_GB2312"/>
          <w:kern w:val="0"/>
          <w:sz w:val="32"/>
          <w:szCs w:val="32"/>
        </w:rPr>
        <w:t xml:space="preserve">    </w:t>
      </w:r>
      <w:r>
        <w:rPr>
          <w:rFonts w:eastAsia="楷体_GB2312"/>
          <w:kern w:val="0"/>
          <w:sz w:val="32"/>
          <w:szCs w:val="32"/>
        </w:rPr>
        <w:t>（一）参加年龄</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1.甲组（15-17岁）：2009年1月1日～2011年12月31日前出生。</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2.乙组（12-14岁）：2012年1月1日～2014年12月31日出生。</w:t>
      </w:r>
    </w:p>
    <w:p>
      <w:pPr>
        <w:snapToGrid w:val="0"/>
        <w:spacing w:line="560" w:lineRule="exact"/>
        <w:jc w:val="both"/>
        <w:rPr>
          <w:rFonts w:eastAsia="楷体_GB2312"/>
          <w:kern w:val="0"/>
          <w:sz w:val="32"/>
          <w:szCs w:val="32"/>
          <w:highlight w:val="none"/>
        </w:rPr>
      </w:pPr>
      <w:r>
        <w:rPr>
          <w:rFonts w:hint="eastAsia" w:eastAsia="楷体_GB2312"/>
          <w:kern w:val="0"/>
          <w:sz w:val="32"/>
          <w:szCs w:val="32"/>
          <w:highlight w:val="none"/>
        </w:rPr>
        <w:t xml:space="preserve">    </w:t>
      </w:r>
      <w:r>
        <w:rPr>
          <w:rFonts w:eastAsia="楷体_GB2312"/>
          <w:kern w:val="0"/>
          <w:sz w:val="32"/>
          <w:szCs w:val="32"/>
          <w:highlight w:val="none"/>
        </w:rPr>
        <w:t>（二）参加人数</w:t>
      </w:r>
    </w:p>
    <w:p>
      <w:pPr>
        <w:keepNext w:val="0"/>
        <w:keepLines w:val="0"/>
        <w:pageBreakBefore w:val="0"/>
        <w:widowControl w:val="0"/>
        <w:tabs>
          <w:tab w:val="left" w:pos="851"/>
        </w:tabs>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1.少年甲组：男、女各</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名</w:t>
      </w:r>
    </w:p>
    <w:p>
      <w:pPr>
        <w:keepNext w:val="0"/>
        <w:keepLines w:val="0"/>
        <w:pageBreakBefore w:val="0"/>
        <w:widowControl w:val="0"/>
        <w:tabs>
          <w:tab w:val="left" w:pos="851"/>
        </w:tabs>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2.少年乙组：男、女各</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名</w:t>
      </w:r>
    </w:p>
    <w:p>
      <w:pPr>
        <w:keepNext w:val="0"/>
        <w:keepLines w:val="0"/>
        <w:pageBreakBefore w:val="0"/>
        <w:widowControl w:val="0"/>
        <w:tabs>
          <w:tab w:val="left" w:pos="851"/>
        </w:tabs>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3.各代表队领队1名，教练2人，运动员满额为</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人；不足1</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名运动员，1名教练员。</w:t>
      </w:r>
    </w:p>
    <w:p>
      <w:pPr>
        <w:snapToGrid w:val="0"/>
        <w:spacing w:line="560" w:lineRule="exact"/>
        <w:jc w:val="both"/>
        <w:rPr>
          <w:rFonts w:eastAsia="楷体_GB2312"/>
          <w:kern w:val="0"/>
          <w:sz w:val="32"/>
          <w:szCs w:val="32"/>
        </w:rPr>
      </w:pPr>
      <w:r>
        <w:rPr>
          <w:rFonts w:hint="eastAsia" w:eastAsia="楷体_GB2312"/>
          <w:kern w:val="0"/>
          <w:sz w:val="32"/>
          <w:szCs w:val="32"/>
        </w:rPr>
        <w:t xml:space="preserve">    </w:t>
      </w:r>
      <w:r>
        <w:rPr>
          <w:rFonts w:eastAsia="楷体_GB2312"/>
          <w:kern w:val="0"/>
          <w:sz w:val="32"/>
          <w:szCs w:val="32"/>
        </w:rPr>
        <w:t>（三）参赛资格</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1.2025年12月31日前取得海南省正式户籍或学籍。</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须符合《海南省运动员注册与交流管理办法（试行）》（琼旅文办</w:t>
      </w:r>
      <w:r>
        <w:rPr>
          <w:rFonts w:hint="eastAsia" w:ascii="仿宋_GB2312" w:hAnsi="仿宋_GB2312" w:eastAsia="仿宋_GB2312" w:cs="仿宋_GB2312"/>
          <w:sz w:val="32"/>
          <w:szCs w:val="32"/>
          <w:lang w:eastAsia="zh-CN"/>
        </w:rPr>
        <w:t>函</w:t>
      </w:r>
      <w:r>
        <w:rPr>
          <w:rFonts w:hint="eastAsia" w:ascii="仿宋_GB2312" w:hAnsi="仿宋_GB2312" w:eastAsia="仿宋_GB2312" w:cs="仿宋_GB2312"/>
          <w:sz w:val="32"/>
          <w:szCs w:val="32"/>
        </w:rPr>
        <w:t>〔2025〕341号）等有关规定，并于2025年12月1日至2026年1月31日在省旅游和文化广电体育厅（省旅文厅）办理注册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不注册者不予参赛。</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.经县级以上人民医院或二级甲等以上医院检查证明身体</w:t>
      </w:r>
      <w:r>
        <w:rPr>
          <w:rFonts w:hint="eastAsia" w:ascii="仿宋_GB2312" w:hAnsi="仿宋_GB2312" w:eastAsia="仿宋_GB2312" w:cs="仿宋_GB2312"/>
          <w:sz w:val="32"/>
          <w:szCs w:val="32"/>
        </w:rPr>
        <w:t>健康。</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.须符合本项目竞赛</w:t>
      </w:r>
      <w:r>
        <w:rPr>
          <w:rFonts w:hint="eastAsia" w:ascii="仿宋_GB2312" w:hAnsi="仿宋_GB2312" w:eastAsia="仿宋_GB2312" w:cs="仿宋_GB2312"/>
          <w:sz w:val="32"/>
          <w:szCs w:val="32"/>
        </w:rPr>
        <w:t>规程和竞赛规则的有关规定。</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.各市、县输送我省优秀运动队并在国家体育总局注册的运动员代表原输送市、县参加比赛;经原输送市、县同意，办理交流协议，报省</w:t>
      </w:r>
      <w:r>
        <w:rPr>
          <w:rFonts w:hint="eastAsia" w:ascii="仿宋_GB2312" w:hAnsi="仿宋_GB2312" w:eastAsia="仿宋_GB2312" w:cs="仿宋_GB2312"/>
          <w:sz w:val="32"/>
          <w:szCs w:val="32"/>
          <w:lang w:eastAsia="zh-CN"/>
        </w:rPr>
        <w:t>旅文</w:t>
      </w:r>
      <w:r>
        <w:rPr>
          <w:rFonts w:hint="eastAsia" w:ascii="仿宋_GB2312" w:hAnsi="仿宋_GB2312" w:eastAsia="仿宋_GB2312" w:cs="仿宋_GB2312"/>
          <w:sz w:val="32"/>
          <w:szCs w:val="32"/>
        </w:rPr>
        <w:t>厅批准可代表其它市、县和行业体协参赛；</w:t>
      </w:r>
      <w:r>
        <w:rPr>
          <w:rFonts w:hint="eastAsia" w:ascii="仿宋_GB2312" w:hAnsi="仿宋_GB2312" w:eastAsia="仿宋_GB2312" w:cs="仿宋_GB2312"/>
          <w:b w:val="0"/>
          <w:bCs w:val="0"/>
          <w:color w:val="auto"/>
          <w:sz w:val="32"/>
          <w:szCs w:val="32"/>
          <w:highlight w:val="none"/>
        </w:rPr>
        <w:t>从外省引进的在国家体育总局注册代表我省参加全国比赛且在协议期内的运动员代表资格由各市、县、行业体协与运动员所在训练单位协商决定,报省</w:t>
      </w:r>
      <w:r>
        <w:rPr>
          <w:rFonts w:hint="eastAsia" w:ascii="仿宋_GB2312" w:hAnsi="仿宋_GB2312" w:eastAsia="仿宋_GB2312" w:cs="仿宋_GB2312"/>
          <w:b w:val="0"/>
          <w:bCs w:val="0"/>
          <w:color w:val="auto"/>
          <w:sz w:val="32"/>
          <w:szCs w:val="32"/>
          <w:highlight w:val="none"/>
          <w:lang w:eastAsia="zh-CN"/>
        </w:rPr>
        <w:t>旅文</w:t>
      </w:r>
      <w:r>
        <w:rPr>
          <w:rFonts w:hint="eastAsia" w:ascii="仿宋_GB2312" w:hAnsi="仿宋_GB2312" w:eastAsia="仿宋_GB2312" w:cs="仿宋_GB2312"/>
          <w:b w:val="0"/>
          <w:bCs w:val="0"/>
          <w:color w:val="auto"/>
          <w:sz w:val="32"/>
          <w:szCs w:val="32"/>
          <w:highlight w:val="none"/>
        </w:rPr>
        <w:t>厅批准。</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未经省</w:t>
      </w:r>
      <w:r>
        <w:rPr>
          <w:rFonts w:hint="eastAsia" w:ascii="仿宋_GB2312" w:hAnsi="仿宋_GB2312" w:eastAsia="仿宋_GB2312" w:cs="仿宋_GB2312"/>
          <w:sz w:val="32"/>
          <w:szCs w:val="32"/>
          <w:highlight w:val="none"/>
          <w:lang w:val="en-US" w:eastAsia="zh-CN"/>
        </w:rPr>
        <w:t>旅文</w:t>
      </w:r>
      <w:r>
        <w:rPr>
          <w:rFonts w:hint="eastAsia" w:ascii="仿宋_GB2312" w:hAnsi="仿宋_GB2312" w:eastAsia="仿宋_GB2312" w:cs="仿宋_GB2312"/>
          <w:sz w:val="32"/>
          <w:szCs w:val="32"/>
          <w:highlight w:val="none"/>
        </w:rPr>
        <w:t>厅同意输送到其他省、区、市的海南籍运动员或已代表外省（市、自治区）在体育总局注册的运动员不能参赛。</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.每一名运动员只能代表一个代表团（队）参赛。</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.各单位必须为参赛运动员购买比赛期间相应的人身意外伤害保险。</w:t>
      </w:r>
    </w:p>
    <w:p>
      <w:pPr>
        <w:tabs>
          <w:tab w:val="left" w:pos="851"/>
        </w:tabs>
        <w:snapToGrid w:val="0"/>
        <w:spacing w:line="560" w:lineRule="exact"/>
        <w:ind w:firstLine="640" w:firstLineChars="200"/>
        <w:jc w:val="both"/>
        <w:rPr>
          <w:rFonts w:hint="eastAsia" w:ascii="楷体_GB2312" w:hAnsi="楷体_GB2312" w:eastAsia="楷体_GB2312" w:cs="楷体_GB2312"/>
          <w:kern w:val="0"/>
          <w:sz w:val="32"/>
          <w:szCs w:val="32"/>
        </w:rPr>
      </w:pPr>
      <w:r>
        <w:rPr>
          <w:rFonts w:hint="eastAsia" w:ascii="楷体_GB2312" w:hAnsi="楷体_GB2312" w:eastAsia="楷体_GB2312" w:cs="楷体_GB2312"/>
          <w:sz w:val="32"/>
          <w:szCs w:val="32"/>
        </w:rPr>
        <w:t>（四）</w:t>
      </w:r>
      <w:r>
        <w:rPr>
          <w:rFonts w:hint="eastAsia" w:ascii="楷体_GB2312" w:hAnsi="楷体_GB2312" w:eastAsia="楷体_GB2312" w:cs="楷体_GB2312"/>
          <w:kern w:val="0"/>
          <w:sz w:val="32"/>
          <w:szCs w:val="32"/>
        </w:rPr>
        <w:t>资格审查</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1.省</w:t>
      </w:r>
      <w:r>
        <w:rPr>
          <w:rFonts w:hint="eastAsia" w:ascii="仿宋_GB2312" w:hAnsi="仿宋_GB2312" w:eastAsia="仿宋_GB2312" w:cs="仿宋_GB2312"/>
          <w:sz w:val="32"/>
          <w:szCs w:val="32"/>
          <w:highlight w:val="none"/>
          <w:lang w:val="en-US" w:eastAsia="zh-CN"/>
        </w:rPr>
        <w:t>旅文</w:t>
      </w:r>
      <w:r>
        <w:rPr>
          <w:rFonts w:hint="eastAsia" w:ascii="仿宋_GB2312" w:hAnsi="仿宋_GB2312" w:eastAsia="仿宋_GB2312" w:cs="仿宋_GB2312"/>
          <w:sz w:val="32"/>
          <w:szCs w:val="32"/>
          <w:highlight w:val="none"/>
        </w:rPr>
        <w:t>厅将依据有关规定对运动员参赛资格进行审查，并采取网上公示等程序接受社会和各参赛单位监督。各参赛单位可利用自查、互查和举报等形式，对运动员参赛资格进行审核与监督。</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2.运动员在参赛资格问题上经查证属实有违反规定的，取消本人参赛资格和比赛成绩，</w:t>
      </w:r>
      <w:r>
        <w:rPr>
          <w:rFonts w:hint="eastAsia" w:ascii="仿宋_GB2312" w:hAnsi="仿宋_GB2312" w:eastAsia="仿宋_GB2312" w:cs="仿宋_GB2312"/>
          <w:b w:val="0"/>
          <w:bCs w:val="0"/>
          <w:color w:val="auto"/>
          <w:sz w:val="32"/>
          <w:szCs w:val="32"/>
        </w:rPr>
        <w:t>取消本队所有团体分数和名次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此外，还将根据参赛代表团赛风赛纪和反兴奋剂工作责任书及其它有关规定对相关责任人员和单位进行处罚。凡运动员（队）被取消参赛资格和比赛成绩的，已完成的比赛结果不再改变，其被取消的名次依次递补。</w:t>
      </w:r>
    </w:p>
    <w:p>
      <w:pPr>
        <w:tabs>
          <w:tab w:val="left" w:pos="851"/>
        </w:tabs>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3.每人可报4项（接力除外），</w:t>
      </w:r>
      <w:r>
        <w:rPr>
          <w:rFonts w:hint="eastAsia" w:ascii="仿宋_GB2312" w:hAnsi="仿宋_GB2312" w:eastAsia="仿宋_GB2312" w:cs="仿宋_GB2312"/>
          <w:color w:val="000000"/>
          <w:sz w:val="32"/>
          <w:szCs w:val="32"/>
          <w:highlight w:val="none"/>
        </w:rPr>
        <w:t>每个队</w:t>
      </w:r>
      <w:r>
        <w:rPr>
          <w:rFonts w:hint="eastAsia" w:ascii="仿宋_GB2312" w:hAnsi="仿宋_GB2312" w:eastAsia="仿宋_GB2312" w:cs="仿宋_GB2312"/>
          <w:color w:val="000000"/>
          <w:sz w:val="32"/>
          <w:szCs w:val="32"/>
          <w:highlight w:val="none"/>
          <w:lang w:eastAsia="zh-CN"/>
        </w:rPr>
        <w:t>每个组别</w:t>
      </w:r>
      <w:r>
        <w:rPr>
          <w:rFonts w:hint="eastAsia" w:ascii="仿宋_GB2312" w:hAnsi="仿宋_GB2312" w:eastAsia="仿宋_GB2312" w:cs="仿宋_GB2312"/>
          <w:color w:val="000000"/>
          <w:sz w:val="32"/>
          <w:szCs w:val="32"/>
          <w:highlight w:val="none"/>
        </w:rPr>
        <w:t>可报</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项男、女接力（</w:t>
      </w:r>
      <w:r>
        <w:rPr>
          <w:rFonts w:hint="eastAsia" w:ascii="仿宋_GB2312" w:hAnsi="仿宋_GB2312" w:eastAsia="仿宋_GB2312" w:cs="仿宋_GB2312"/>
          <w:color w:val="000000"/>
          <w:sz w:val="32"/>
          <w:szCs w:val="32"/>
          <w:highlight w:val="none"/>
          <w:lang w:val="en-US" w:eastAsia="zh-CN"/>
        </w:rPr>
        <w:t>不</w:t>
      </w:r>
      <w:r>
        <w:rPr>
          <w:rFonts w:hint="eastAsia" w:ascii="仿宋_GB2312" w:hAnsi="仿宋_GB2312" w:eastAsia="仿宋_GB2312" w:cs="仿宋_GB2312"/>
          <w:color w:val="000000"/>
          <w:sz w:val="32"/>
          <w:szCs w:val="32"/>
          <w:highlight w:val="none"/>
        </w:rPr>
        <w:t>可跨年龄组）</w:t>
      </w:r>
      <w:r>
        <w:rPr>
          <w:rFonts w:hint="eastAsia" w:ascii="仿宋_GB2312" w:hAnsi="仿宋_GB2312" w:eastAsia="仿宋_GB2312" w:cs="仿宋_GB2312"/>
          <w:sz w:val="32"/>
          <w:szCs w:val="32"/>
          <w:highlight w:val="none"/>
        </w:rPr>
        <w:t>。</w:t>
      </w:r>
    </w:p>
    <w:p>
      <w:pPr>
        <w:tabs>
          <w:tab w:val="left" w:pos="851"/>
        </w:tabs>
        <w:snapToGrid w:val="0"/>
        <w:spacing w:line="560" w:lineRule="exact"/>
        <w:ind w:firstLine="640" w:firstLineChars="200"/>
        <w:jc w:val="both"/>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4.凡抽调参加全国比赛无故不参加者，取消参赛资格。</w:t>
      </w:r>
    </w:p>
    <w:p>
      <w:pPr>
        <w:tabs>
          <w:tab w:val="left" w:pos="851"/>
        </w:tabs>
        <w:snapToGrid w:val="0"/>
        <w:spacing w:line="560" w:lineRule="exact"/>
        <w:ind w:firstLine="640" w:firstLineChars="200"/>
        <w:jc w:val="both"/>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骨龄检查：组委会将对参赛运动员进行骨龄抽检，骨龄检测经费自付。2025年及之前省少年游泳锦标赛拍骨龄超过所报年龄12个月以上的运动员，报名时按所测定的年龄相应调整参赛组别。如出现弄虚作假或冒名顶替等资格问题，将参照本规程资格审查条款执行，并处罚参赛队2000元。</w:t>
      </w:r>
    </w:p>
    <w:p>
      <w:pPr>
        <w:tabs>
          <w:tab w:val="left" w:pos="851"/>
        </w:tabs>
        <w:snapToGrid w:val="0"/>
        <w:spacing w:line="560" w:lineRule="exact"/>
        <w:ind w:firstLine="640" w:firstLineChars="200"/>
        <w:jc w:val="both"/>
        <w:rPr>
          <w:rFonts w:hint="eastAsia" w:ascii="黑体" w:hAnsi="黑体" w:eastAsia="黑体" w:cs="黑体"/>
          <w:bCs/>
          <w:sz w:val="32"/>
          <w:szCs w:val="32"/>
        </w:rPr>
      </w:pPr>
      <w:r>
        <w:rPr>
          <w:rFonts w:hint="eastAsia" w:ascii="黑体" w:hAnsi="黑体" w:eastAsia="黑体" w:cs="黑体"/>
          <w:sz w:val="32"/>
          <w:szCs w:val="32"/>
        </w:rPr>
        <w:t>五、</w:t>
      </w:r>
      <w:r>
        <w:rPr>
          <w:rFonts w:hint="eastAsia" w:ascii="黑体" w:hAnsi="黑体" w:eastAsia="黑体" w:cs="黑体"/>
          <w:bCs/>
          <w:sz w:val="32"/>
          <w:szCs w:val="32"/>
        </w:rPr>
        <w:t>竞赛办法</w:t>
      </w:r>
    </w:p>
    <w:p>
      <w:pPr>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（一）采用国家体育总局审定的最新游泳竞赛规则。</w:t>
      </w:r>
    </w:p>
    <w:p>
      <w:pPr>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（二）各项比赛9人以上将进行预赛、决赛，取前8名进入决赛，按成绩优异顺序排列名次。如第8名成绩相同，将在该场比赛结束后进行重赛。不足8人（含8人）时进行一次性决赛。</w:t>
      </w:r>
    </w:p>
    <w:p>
      <w:pPr>
        <w:snapToGrid w:val="0"/>
        <w:spacing w:line="560" w:lineRule="exact"/>
        <w:ind w:firstLine="640" w:firstLineChars="200"/>
        <w:jc w:val="both"/>
        <w:rPr>
          <w:rFonts w:eastAsia="仿宋_GB2312"/>
          <w:sz w:val="32"/>
          <w:szCs w:val="32"/>
        </w:rPr>
      </w:pPr>
      <w:r>
        <w:rPr>
          <w:rFonts w:hint="eastAsia" w:ascii="仿宋_GB2312" w:hAnsi="仿宋_GB2312" w:eastAsia="仿宋_GB2312" w:cs="仿宋_GB2312"/>
          <w:sz w:val="32"/>
          <w:szCs w:val="32"/>
        </w:rPr>
        <w:t>（三）运动员报名后不得无故弃权，</w:t>
      </w:r>
      <w:r>
        <w:rPr>
          <w:rFonts w:hint="eastAsia" w:ascii="仿宋_GB2312" w:hAnsi="仿宋_GB2312" w:eastAsia="仿宋_GB2312" w:cs="仿宋_GB2312"/>
          <w:sz w:val="32"/>
          <w:szCs w:val="32"/>
          <w:highlight w:val="none"/>
        </w:rPr>
        <w:t>确实因伤、病不能参赛者，须提交县级以上医院检查证明，并</w:t>
      </w:r>
      <w:r>
        <w:rPr>
          <w:rFonts w:hint="eastAsia" w:ascii="仿宋_GB2312" w:hAnsi="仿宋_GB2312" w:eastAsia="仿宋_GB2312" w:cs="仿宋_GB2312"/>
          <w:sz w:val="32"/>
          <w:szCs w:val="32"/>
        </w:rPr>
        <w:t>在该场比赛前30分钟内提出</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缴纳每项500元人民币的弃权费。</w:t>
      </w:r>
      <w:r>
        <w:rPr>
          <w:rFonts w:hint="eastAsia" w:ascii="仿宋_GB2312" w:hAnsi="仿宋_GB2312" w:eastAsia="仿宋_GB2312" w:cs="仿宋_GB2312"/>
          <w:sz w:val="32"/>
          <w:szCs w:val="32"/>
          <w:lang w:eastAsia="zh-CN"/>
        </w:rPr>
        <w:t>如不按规定申请弃权</w:t>
      </w:r>
      <w:r>
        <w:rPr>
          <w:rFonts w:hint="eastAsia" w:ascii="仿宋_GB2312" w:hAnsi="仿宋_GB2312" w:eastAsia="仿宋_GB2312" w:cs="仿宋_GB2312"/>
          <w:sz w:val="32"/>
          <w:szCs w:val="32"/>
        </w:rPr>
        <w:t>，取消该运动员在本次比赛中已取得的成绩</w:t>
      </w:r>
      <w:r>
        <w:rPr>
          <w:rFonts w:hint="eastAsia" w:ascii="仿宋_GB2312" w:hAnsi="仿宋_GB2312" w:eastAsia="仿宋_GB2312" w:cs="仿宋_GB2312"/>
          <w:sz w:val="32"/>
          <w:szCs w:val="32"/>
          <w:lang w:eastAsia="zh-CN"/>
        </w:rPr>
        <w:t>和余下项目的参赛资格</w:t>
      </w:r>
      <w:r>
        <w:rPr>
          <w:rFonts w:hint="eastAsia" w:ascii="仿宋_GB2312" w:hAnsi="仿宋_GB2312" w:eastAsia="仿宋_GB2312" w:cs="仿宋_GB2312"/>
          <w:sz w:val="32"/>
          <w:szCs w:val="32"/>
        </w:rPr>
        <w:t>。</w:t>
      </w:r>
    </w:p>
    <w:p>
      <w:pPr>
        <w:snapToGrid w:val="0"/>
        <w:spacing w:line="560" w:lineRule="exact"/>
        <w:ind w:firstLine="640" w:firstLineChars="200"/>
        <w:jc w:val="both"/>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（四）运动员未游完全程或故意慢游(报名成绩的15%)，取消当日及次日参赛资格，取消所有比赛项目成绩，并对参赛队处1000元罚款。</w:t>
      </w:r>
    </w:p>
    <w:p>
      <w:pPr>
        <w:snapToGrid w:val="0"/>
        <w:spacing w:line="560" w:lineRule="exact"/>
        <w:ind w:firstLine="640" w:firstLineChars="200"/>
        <w:jc w:val="both"/>
        <w:rPr>
          <w:rFonts w:eastAsia="仿宋_GB2312"/>
          <w:sz w:val="32"/>
          <w:szCs w:val="32"/>
        </w:rPr>
      </w:pPr>
      <w:r>
        <w:rPr>
          <w:rFonts w:hint="eastAsia" w:ascii="仿宋_GB2312" w:hAnsi="仿宋_GB2312" w:eastAsia="仿宋_GB2312" w:cs="仿宋_GB2312"/>
          <w:sz w:val="32"/>
          <w:szCs w:val="32"/>
        </w:rPr>
        <w:t>（五）比赛期间参赛选手如遇身体等原因突发状况的意外出现，由参赛代表队自行负责承担。</w:t>
      </w:r>
    </w:p>
    <w:p>
      <w:pPr>
        <w:snapToGrid w:val="0"/>
        <w:spacing w:line="560" w:lineRule="exact"/>
        <w:ind w:firstLine="640" w:firstLineChars="200"/>
        <w:jc w:val="both"/>
        <w:rPr>
          <w:rFonts w:hint="eastAsia" w:ascii="黑体" w:hAnsi="黑体" w:eastAsia="黑体" w:cs="黑体"/>
          <w:bCs/>
          <w:sz w:val="32"/>
          <w:szCs w:val="32"/>
        </w:rPr>
      </w:pPr>
      <w:r>
        <w:rPr>
          <w:rFonts w:hint="eastAsia" w:ascii="黑体" w:hAnsi="黑体" w:eastAsia="黑体" w:cs="黑体"/>
          <w:sz w:val="32"/>
          <w:szCs w:val="32"/>
        </w:rPr>
        <w:t>六、</w:t>
      </w:r>
      <w:r>
        <w:rPr>
          <w:rFonts w:hint="eastAsia" w:ascii="黑体" w:hAnsi="黑体" w:eastAsia="黑体" w:cs="黑体"/>
          <w:bCs/>
          <w:sz w:val="32"/>
          <w:szCs w:val="32"/>
        </w:rPr>
        <w:t>录取名次及积分办法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（一）计分方法按总则规定执行。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（二）各比赛项目录取前八名，按9、7、6、5、4、3、2、1计分，不足8人（队），人数减1录取，按9、7、6、5、4、3、2计分。报名人数少于</w:t>
      </w: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rPr>
        <w:t>人将向上调整组别，不能调整的取消比赛。</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（三）根据各单位得分之和排列团体总分名次，如总分相等，以获得第一名多者列前，以此类推。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（四）设体育道德风尚奖，其评选办法和要求按</w:t>
      </w:r>
      <w:r>
        <w:rPr>
          <w:rFonts w:hint="eastAsia" w:ascii="仿宋_GB2312" w:hAnsi="仿宋_GB2312" w:eastAsia="仿宋_GB2312" w:cs="仿宋_GB2312"/>
          <w:sz w:val="32"/>
          <w:szCs w:val="32"/>
          <w:highlight w:val="none"/>
        </w:rPr>
        <w:t>《海南省第七届运动会体育道德风尚奖评选办法》执行。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eastAsia="仿宋_GB2312"/>
          <w:sz w:val="32"/>
          <w:szCs w:val="32"/>
        </w:rPr>
      </w:pPr>
      <w:r>
        <w:rPr>
          <w:rFonts w:hint="eastAsia" w:ascii="仿宋_GB2312" w:hAnsi="仿宋_GB2312" w:eastAsia="仿宋_GB2312" w:cs="仿宋_GB2312"/>
          <w:sz w:val="32"/>
          <w:szCs w:val="32"/>
        </w:rPr>
        <w:t>（五）单项比赛结束后10分钟，获奖运动员到指定地点领取获奖证书。整个比赛结束后15分钟，请各代表队把队伍带到赛会指定地点进行大会颁奖。</w:t>
      </w:r>
    </w:p>
    <w:p>
      <w:pPr>
        <w:snapToGrid w:val="0"/>
        <w:spacing w:line="560" w:lineRule="exact"/>
        <w:ind w:firstLine="560" w:firstLineChars="175"/>
        <w:jc w:val="both"/>
        <w:rPr>
          <w:rFonts w:hint="eastAsia" w:ascii="黑体" w:hAnsi="黑体" w:eastAsia="黑体" w:cs="黑体"/>
          <w:bCs/>
          <w:sz w:val="32"/>
          <w:szCs w:val="32"/>
        </w:rPr>
      </w:pPr>
      <w:r>
        <w:rPr>
          <w:rFonts w:hint="eastAsia" w:ascii="黑体" w:hAnsi="黑体" w:eastAsia="黑体" w:cs="黑体"/>
          <w:sz w:val="32"/>
          <w:szCs w:val="32"/>
        </w:rPr>
        <w:t>六、</w:t>
      </w:r>
      <w:r>
        <w:rPr>
          <w:rFonts w:hint="eastAsia" w:ascii="黑体" w:hAnsi="黑体" w:eastAsia="黑体" w:cs="黑体"/>
          <w:bCs/>
          <w:sz w:val="32"/>
          <w:szCs w:val="32"/>
        </w:rPr>
        <w:t>经费</w:t>
      </w:r>
    </w:p>
    <w:p>
      <w:pPr>
        <w:snapToGrid w:val="0"/>
        <w:spacing w:line="560" w:lineRule="exact"/>
        <w:ind w:firstLine="560" w:firstLineChars="17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各代表队交通费自理，编内人员食宿费按每人每天150元标准收费，超编人员费用自理。</w:t>
      </w:r>
    </w:p>
    <w:p>
      <w:pPr>
        <w:snapToGrid w:val="0"/>
        <w:spacing w:line="560" w:lineRule="exact"/>
        <w:ind w:firstLine="560" w:firstLineChars="175"/>
        <w:jc w:val="both"/>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报名和报到</w:t>
      </w:r>
    </w:p>
    <w:p>
      <w:pPr>
        <w:keepNext w:val="0"/>
        <w:keepLines w:val="0"/>
        <w:pageBreakBefore w:val="0"/>
        <w:widowControl w:val="0"/>
        <w:kinsoku/>
        <w:wordWrap/>
        <w:overflowPunct/>
        <w:topLinePunct w:val="0"/>
        <w:autoSpaceDE/>
        <w:autoSpaceDN/>
        <w:bidi w:val="0"/>
        <w:adjustRightInd/>
        <w:snapToGrid w:val="0"/>
        <w:spacing w:line="560" w:lineRule="exact"/>
        <w:ind w:firstLine="632" w:firstLineChars="200"/>
        <w:jc w:val="both"/>
        <w:textAlignment w:val="auto"/>
        <w:rPr>
          <w:rFonts w:hint="eastAsia" w:ascii="楷体_GB2312" w:hAnsi="楷体_GB2312" w:eastAsia="楷体_GB2312" w:cs="楷体_GB2312"/>
          <w:color w:val="000000"/>
          <w:spacing w:val="-2"/>
          <w:sz w:val="32"/>
        </w:rPr>
      </w:pPr>
      <w:r>
        <w:rPr>
          <w:rFonts w:hint="eastAsia" w:ascii="楷体_GB2312" w:hAnsi="楷体_GB2312" w:eastAsia="楷体_GB2312" w:cs="楷体_GB2312"/>
          <w:color w:val="000000"/>
          <w:spacing w:val="-2"/>
          <w:sz w:val="32"/>
        </w:rPr>
        <w:t>（一）报名</w:t>
      </w:r>
    </w:p>
    <w:p>
      <w:pPr>
        <w:snapToGrid w:val="0"/>
        <w:spacing w:line="560" w:lineRule="exact"/>
        <w:ind w:firstLine="632" w:firstLineChars="200"/>
        <w:jc w:val="both"/>
        <w:rPr>
          <w:rFonts w:hint="eastAsia" w:ascii="仿宋_GB2312" w:hAnsi="仿宋_GB2312" w:eastAsia="仿宋_GB2312" w:cs="仿宋_GB2312"/>
          <w:color w:val="000000"/>
          <w:spacing w:val="-2"/>
          <w:sz w:val="32"/>
        </w:rPr>
      </w:pPr>
      <w:r>
        <w:rPr>
          <w:rFonts w:hint="eastAsia" w:ascii="仿宋_GB2312" w:hAnsi="仿宋_GB2312" w:eastAsia="仿宋_GB2312" w:cs="仿宋_GB2312"/>
          <w:color w:val="000000"/>
          <w:spacing w:val="-2"/>
          <w:sz w:val="32"/>
        </w:rPr>
        <w:t>参赛单位须在省运会报名系统上（以补充通知为准）按相关要求报名</w:t>
      </w:r>
      <w:r>
        <w:rPr>
          <w:rFonts w:hint="eastAsia" w:ascii="仿宋_GB2312" w:hAnsi="仿宋_GB2312" w:eastAsia="仿宋_GB2312" w:cs="仿宋_GB2312"/>
          <w:color w:val="000000"/>
          <w:spacing w:val="-2"/>
          <w:sz w:val="32"/>
          <w:lang w:eastAsia="zh-CN"/>
        </w:rPr>
        <w:t>，</w:t>
      </w:r>
      <w:r>
        <w:rPr>
          <w:rFonts w:hint="eastAsia" w:ascii="仿宋_GB2312" w:hAnsi="仿宋_GB2312" w:eastAsia="仿宋_GB2312" w:cs="仿宋_GB2312"/>
          <w:color w:val="000000"/>
          <w:spacing w:val="-2"/>
          <w:sz w:val="32"/>
        </w:rPr>
        <w:t>并须在报名期内将报名表打印一式二份，加盖单位公章后用EMS（中国邮政速递）分别寄到省旅文厅竞体处（联系人：</w:t>
      </w:r>
      <w:r>
        <w:rPr>
          <w:rFonts w:hint="eastAsia" w:ascii="仿宋_GB2312" w:hAnsi="仿宋_GB2312" w:eastAsia="仿宋_GB2312" w:cs="仿宋_GB2312"/>
          <w:color w:val="000000"/>
          <w:spacing w:val="-2"/>
          <w:sz w:val="32"/>
          <w:lang w:eastAsia="zh-CN"/>
        </w:rPr>
        <w:t>程思远</w:t>
      </w:r>
      <w:r>
        <w:rPr>
          <w:rFonts w:hint="eastAsia" w:ascii="仿宋_GB2312" w:hAnsi="仿宋_GB2312" w:eastAsia="仿宋_GB2312" w:cs="仿宋_GB2312"/>
          <w:color w:val="000000"/>
          <w:spacing w:val="-2"/>
          <w:sz w:val="32"/>
        </w:rPr>
        <w:t>，电话：65220291，海口市白龙南路43号，邮编：570204）和琼海市旅文局（联系人：符式兴，电话：13976328852，地址：琼海市南门二路5号）</w:t>
      </w:r>
      <w:r>
        <w:rPr>
          <w:rFonts w:hint="eastAsia" w:ascii="仿宋_GB2312" w:hAnsi="仿宋_GB2312" w:eastAsia="仿宋_GB2312" w:cs="仿宋_GB2312"/>
          <w:color w:val="000000"/>
          <w:spacing w:val="-2"/>
          <w:sz w:val="32"/>
          <w:lang w:eastAsia="zh-CN"/>
        </w:rPr>
        <w:t>。</w:t>
      </w:r>
      <w:r>
        <w:rPr>
          <w:rFonts w:hint="eastAsia" w:ascii="仿宋_GB2312" w:hAnsi="仿宋_GB2312" w:eastAsia="仿宋_GB2312" w:cs="仿宋_GB2312"/>
          <w:color w:val="000000"/>
          <w:spacing w:val="-2"/>
          <w:sz w:val="32"/>
        </w:rPr>
        <w:t>报名截止日后，系统将自动关闭，不再受理报名；逾期者或不提交者纸质报名表者，视为报名未确认，不予安排比赛。</w:t>
      </w:r>
    </w:p>
    <w:p>
      <w:pPr>
        <w:snapToGrid w:val="0"/>
        <w:spacing w:line="560" w:lineRule="exact"/>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（二）报到</w:t>
      </w:r>
    </w:p>
    <w:p>
      <w:pPr>
        <w:snapToGrid w:val="0"/>
        <w:spacing w:line="560" w:lineRule="exact"/>
        <w:ind w:firstLine="640" w:firstLineChars="200"/>
        <w:jc w:val="both"/>
        <w:rPr>
          <w:rFonts w:hint="eastAsia" w:ascii="黑体" w:hAnsi="黑体" w:eastAsia="黑体" w:cs="黑体"/>
          <w:sz w:val="32"/>
          <w:szCs w:val="32"/>
          <w:lang w:eastAsia="zh-CN"/>
        </w:rPr>
      </w:pPr>
      <w:r>
        <w:rPr>
          <w:rFonts w:hint="eastAsia" w:ascii="仿宋_GB2312" w:hAnsi="仿宋_GB2312" w:eastAsia="仿宋_GB2312" w:cs="仿宋_GB2312"/>
          <w:sz w:val="32"/>
          <w:szCs w:val="32"/>
        </w:rPr>
        <w:t>各参赛单位于赛前二天到赛区报到，请各参赛代表队严格把好资格审查关，报到时要交注册证、健康证明（县级以上医院证明）、人身意外伤害保险单和自愿参赛责任书，证件不全者不予参加比赛。裁判员于赛前三天到赛区报到。每队交保证金2000元人民币，如所有参赛选手符合参赛规定，则退回全部保证金，否则按有关规定扣除。</w:t>
      </w:r>
    </w:p>
    <w:p>
      <w:pPr>
        <w:keepNext w:val="0"/>
        <w:keepLines w:val="0"/>
        <w:pageBreakBefore w:val="0"/>
        <w:kinsoku/>
        <w:wordWrap/>
        <w:overflowPunct/>
        <w:topLinePunct w:val="0"/>
        <w:bidi w:val="0"/>
        <w:snapToGrid/>
        <w:spacing w:before="0" w:after="0" w:line="560" w:lineRule="exact"/>
        <w:ind w:left="0" w:leftChars="0" w:right="0" w:firstLine="640" w:firstLineChars="200"/>
        <w:jc w:val="both"/>
        <w:outlineLvl w:val="9"/>
        <w:rPr>
          <w:rFonts w:hint="eastAsia" w:ascii="黑体" w:hAnsi="黑体" w:eastAsia="黑体" w:cs="黑体"/>
          <w:b w:val="0"/>
          <w:bCs/>
          <w:color w:val="auto"/>
          <w:kern w:val="2"/>
          <w:sz w:val="32"/>
          <w:szCs w:val="32"/>
        </w:rPr>
      </w:pPr>
      <w:r>
        <w:rPr>
          <w:rFonts w:hint="eastAsia" w:ascii="黑体" w:hAnsi="黑体" w:eastAsia="黑体" w:cs="黑体"/>
          <w:b w:val="0"/>
          <w:bCs/>
          <w:color w:val="auto"/>
          <w:kern w:val="2"/>
          <w:sz w:val="32"/>
          <w:szCs w:val="32"/>
          <w:lang w:val="en-US" w:eastAsia="zh-CN"/>
        </w:rPr>
        <w:t>八</w:t>
      </w:r>
      <w:r>
        <w:rPr>
          <w:rFonts w:hint="eastAsia" w:ascii="黑体" w:hAnsi="黑体" w:eastAsia="黑体" w:cs="黑体"/>
          <w:b w:val="0"/>
          <w:bCs/>
          <w:color w:val="auto"/>
          <w:kern w:val="2"/>
          <w:sz w:val="32"/>
          <w:szCs w:val="32"/>
        </w:rPr>
        <w:t>、兴奋剂和性别检查</w:t>
      </w:r>
    </w:p>
    <w:p>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b/>
          <w:kern w:val="0"/>
          <w:sz w:val="32"/>
          <w:szCs w:val="32"/>
        </w:rPr>
      </w:pPr>
      <w:r>
        <w:rPr>
          <w:rFonts w:hint="eastAsia" w:ascii="仿宋_GB2312" w:hAnsi="仿宋_GB2312" w:eastAsia="仿宋_GB2312" w:cs="仿宋_GB2312"/>
          <w:color w:val="auto"/>
          <w:kern w:val="2"/>
          <w:sz w:val="32"/>
          <w:szCs w:val="32"/>
        </w:rPr>
        <w:t>按照《</w:t>
      </w:r>
      <w:r>
        <w:rPr>
          <w:rFonts w:hint="eastAsia" w:ascii="仿宋_GB2312" w:hAnsi="仿宋_GB2312" w:eastAsia="仿宋_GB2312" w:cs="仿宋_GB2312"/>
          <w:color w:val="auto"/>
          <w:kern w:val="0"/>
          <w:sz w:val="32"/>
          <w:szCs w:val="32"/>
        </w:rPr>
        <w:t>海南省第</w:t>
      </w:r>
      <w:r>
        <w:rPr>
          <w:rFonts w:hint="eastAsia" w:ascii="仿宋_GB2312" w:hAnsi="仿宋_GB2312" w:eastAsia="仿宋_GB2312" w:cs="仿宋_GB2312"/>
          <w:color w:val="auto"/>
          <w:kern w:val="0"/>
          <w:sz w:val="32"/>
          <w:szCs w:val="32"/>
          <w:lang w:val="en-US" w:eastAsia="zh-CN"/>
        </w:rPr>
        <w:t>七</w:t>
      </w:r>
      <w:r>
        <w:rPr>
          <w:rFonts w:hint="eastAsia" w:ascii="仿宋_GB2312" w:hAnsi="仿宋_GB2312" w:eastAsia="仿宋_GB2312" w:cs="仿宋_GB2312"/>
          <w:color w:val="auto"/>
          <w:kern w:val="0"/>
          <w:sz w:val="32"/>
          <w:szCs w:val="32"/>
        </w:rPr>
        <w:t>届运动会竞赛规程总则</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0"/>
          <w:sz w:val="32"/>
          <w:szCs w:val="32"/>
        </w:rPr>
        <w:t>第七</w:t>
      </w:r>
      <w:r>
        <w:rPr>
          <w:rFonts w:hint="eastAsia" w:ascii="仿宋_GB2312" w:hAnsi="仿宋_GB2312" w:eastAsia="仿宋_GB2312" w:cs="仿宋_GB2312"/>
          <w:color w:val="auto"/>
          <w:kern w:val="2"/>
          <w:sz w:val="32"/>
          <w:szCs w:val="32"/>
        </w:rPr>
        <w:t>条有关规定执行</w:t>
      </w:r>
      <w:r>
        <w:rPr>
          <w:rFonts w:hint="eastAsia" w:ascii="仿宋_GB2312" w:hAnsi="仿宋_GB2312" w:eastAsia="仿宋_GB2312" w:cs="仿宋_GB2312"/>
          <w:color w:val="auto"/>
          <w:kern w:val="2"/>
          <w:sz w:val="32"/>
          <w:szCs w:val="32"/>
          <w:lang w:eastAsia="zh-CN"/>
        </w:rPr>
        <w:t>。</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sz w:val="32"/>
          <w:szCs w:val="32"/>
          <w:lang w:eastAsia="zh-CN"/>
        </w:rPr>
        <w:t>九</w:t>
      </w:r>
      <w:r>
        <w:rPr>
          <w:rFonts w:hint="eastAsia" w:ascii="黑体" w:hAnsi="黑体" w:eastAsia="黑体" w:cs="黑体"/>
          <w:sz w:val="32"/>
          <w:szCs w:val="32"/>
        </w:rPr>
        <w:t>、</w:t>
      </w:r>
      <w:r>
        <w:rPr>
          <w:rFonts w:hint="eastAsia" w:ascii="黑体" w:hAnsi="黑体" w:eastAsia="黑体" w:cs="黑体"/>
          <w:color w:val="auto"/>
          <w:sz w:val="32"/>
          <w:szCs w:val="32"/>
          <w:lang w:val="en-US" w:eastAsia="zh-CN"/>
        </w:rPr>
        <w:t>技术官员</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裁判员</w:t>
      </w:r>
      <w:r>
        <w:rPr>
          <w:rFonts w:hint="eastAsia" w:ascii="仿宋_GB2312" w:hAnsi="仿宋_GB2312" w:eastAsia="仿宋_GB2312" w:cs="仿宋_GB2312"/>
          <w:color w:val="auto"/>
          <w:sz w:val="32"/>
          <w:szCs w:val="32"/>
          <w:lang w:eastAsia="zh-CN"/>
        </w:rPr>
        <w:t>等技术官员</w:t>
      </w:r>
      <w:r>
        <w:rPr>
          <w:rFonts w:hint="eastAsia" w:ascii="仿宋_GB2312" w:hAnsi="仿宋_GB2312" w:eastAsia="仿宋_GB2312" w:cs="仿宋_GB2312"/>
          <w:color w:val="auto"/>
          <w:sz w:val="32"/>
          <w:szCs w:val="32"/>
        </w:rPr>
        <w:t>和</w:t>
      </w:r>
      <w:r>
        <w:rPr>
          <w:rFonts w:hint="eastAsia" w:ascii="仿宋_GB2312" w:hAnsi="仿宋_GB2312" w:eastAsia="仿宋_GB2312" w:cs="仿宋_GB2312"/>
          <w:color w:val="auto"/>
          <w:sz w:val="32"/>
          <w:szCs w:val="32"/>
          <w:lang w:eastAsia="zh-CN"/>
        </w:rPr>
        <w:t>申诉</w:t>
      </w:r>
      <w:r>
        <w:rPr>
          <w:rFonts w:hint="eastAsia" w:ascii="仿宋_GB2312" w:hAnsi="仿宋_GB2312" w:eastAsia="仿宋_GB2312" w:cs="仿宋_GB2312"/>
          <w:color w:val="auto"/>
          <w:sz w:val="32"/>
          <w:szCs w:val="32"/>
        </w:rPr>
        <w:t>委员会由海南省旅游和文化广电体育厅统一选派。</w:t>
      </w:r>
    </w:p>
    <w:p>
      <w:pPr>
        <w:snapToGrid w:val="0"/>
        <w:spacing w:line="560" w:lineRule="exact"/>
        <w:jc w:val="both"/>
        <w:rPr>
          <w:rFonts w:eastAsia="黑体"/>
          <w:bCs/>
          <w:sz w:val="32"/>
          <w:szCs w:val="32"/>
        </w:rPr>
      </w:pPr>
      <w:bookmarkStart w:id="4" w:name="_GoBack"/>
      <w:bookmarkEnd w:id="4"/>
      <w:r>
        <w:rPr>
          <w:rFonts w:hint="eastAsia" w:eastAsia="黑体"/>
          <w:bCs/>
          <w:sz w:val="32"/>
          <w:szCs w:val="32"/>
        </w:rPr>
        <w:t xml:space="preserve">    </w:t>
      </w:r>
      <w:r>
        <w:rPr>
          <w:rFonts w:hint="eastAsia" w:eastAsia="黑体"/>
          <w:bCs/>
          <w:sz w:val="32"/>
          <w:szCs w:val="32"/>
          <w:lang w:eastAsia="zh-CN"/>
        </w:rPr>
        <w:t>十</w:t>
      </w:r>
      <w:r>
        <w:rPr>
          <w:rFonts w:hint="eastAsia" w:eastAsia="黑体"/>
          <w:bCs/>
          <w:sz w:val="32"/>
          <w:szCs w:val="32"/>
        </w:rPr>
        <w:t>、</w:t>
      </w:r>
      <w:r>
        <w:rPr>
          <w:rFonts w:eastAsia="黑体"/>
          <w:bCs/>
          <w:sz w:val="32"/>
          <w:szCs w:val="32"/>
        </w:rPr>
        <w:t>本规程解释权属省旅游和文化广电体育厅，未尽事宜另行补充通知。</w:t>
      </w:r>
    </w:p>
    <w:p>
      <w:pPr>
        <w:snapToGrid w:val="0"/>
        <w:spacing w:line="576" w:lineRule="exact"/>
        <w:ind w:firstLine="629" w:firstLineChars="196"/>
        <w:rPr>
          <w:rFonts w:eastAsia="仿宋_GB2312"/>
          <w:b/>
          <w:sz w:val="32"/>
          <w:szCs w:val="32"/>
        </w:rPr>
      </w:pPr>
    </w:p>
    <w:p>
      <w:pPr>
        <w:snapToGrid w:val="0"/>
        <w:spacing w:line="576" w:lineRule="exact"/>
        <w:ind w:firstLine="629" w:firstLineChars="196"/>
        <w:rPr>
          <w:rFonts w:eastAsia="仿宋_GB2312"/>
          <w:b/>
          <w:sz w:val="32"/>
          <w:szCs w:val="32"/>
        </w:rPr>
        <w:sectPr>
          <w:footerReference r:id="rId3" w:type="default"/>
          <w:footerReference r:id="rId4" w:type="even"/>
          <w:pgSz w:w="11906" w:h="16838"/>
          <w:pgMar w:top="2098" w:right="1474" w:bottom="1984" w:left="1587" w:header="851" w:footer="992" w:gutter="0"/>
          <w:pgNumType w:fmt="numberInDash"/>
          <w:cols w:space="720" w:num="1"/>
          <w:docGrid w:linePitch="312" w:charSpace="0"/>
        </w:sectPr>
      </w:pP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黑体" w:hAnsi="黑体" w:eastAsia="黑体" w:cs="黑体"/>
          <w:bCs/>
          <w:sz w:val="28"/>
          <w:szCs w:val="28"/>
        </w:rPr>
      </w:pPr>
      <w:r>
        <w:rPr>
          <w:rFonts w:hint="eastAsia" w:ascii="黑体" w:hAnsi="黑体" w:eastAsia="黑体" w:cs="黑体"/>
          <w:bCs/>
          <w:sz w:val="28"/>
          <w:szCs w:val="28"/>
        </w:rPr>
        <w:t>附</w:t>
      </w:r>
      <w:r>
        <w:rPr>
          <w:rFonts w:hint="eastAsia" w:ascii="黑体" w:hAnsi="黑体" w:eastAsia="黑体" w:cs="黑体"/>
          <w:sz w:val="28"/>
          <w:szCs w:val="28"/>
        </w:rPr>
        <w:t>件12-</w:t>
      </w:r>
      <w:r>
        <w:rPr>
          <w:rFonts w:hint="eastAsia" w:ascii="黑体" w:hAnsi="黑体" w:eastAsia="黑体" w:cs="黑体"/>
          <w:bCs/>
          <w:sz w:val="28"/>
          <w:szCs w:val="28"/>
        </w:rPr>
        <w:t>1</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b/>
          <w:sz w:val="24"/>
        </w:rPr>
      </w:pPr>
      <w:r>
        <w:rPr>
          <w:rFonts w:eastAsia="方正小标宋简体"/>
          <w:bCs/>
          <w:sz w:val="36"/>
          <w:szCs w:val="36"/>
        </w:rPr>
        <w:t>海南省第六届运动会游泳比赛报名表</w:t>
      </w:r>
    </w:p>
    <w:p>
      <w:pPr>
        <w:keepNext w:val="0"/>
        <w:keepLines w:val="0"/>
        <w:pageBreakBefore w:val="0"/>
        <w:widowControl w:val="0"/>
        <w:kinsoku/>
        <w:wordWrap/>
        <w:overflowPunct/>
        <w:topLinePunct w:val="0"/>
        <w:autoSpaceDE/>
        <w:autoSpaceDN/>
        <w:bidi w:val="0"/>
        <w:adjustRightInd/>
        <w:spacing w:line="560" w:lineRule="exact"/>
        <w:ind w:firstLine="240" w:firstLineChars="100"/>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　　　　　领队：         教练员：            联系人：     　   联系电话：</w:t>
      </w:r>
    </w:p>
    <w:p>
      <w:pPr>
        <w:keepNext w:val="0"/>
        <w:keepLines w:val="0"/>
        <w:pageBreakBefore w:val="0"/>
        <w:widowControl w:val="0"/>
        <w:kinsoku/>
        <w:wordWrap/>
        <w:overflowPunct/>
        <w:topLinePunct w:val="0"/>
        <w:autoSpaceDE/>
        <w:autoSpaceDN/>
        <w:bidi w:val="0"/>
        <w:adjustRightInd/>
        <w:spacing w:line="560" w:lineRule="exact"/>
        <w:ind w:firstLine="240" w:firstLineChars="100"/>
        <w:textAlignment w:val="auto"/>
        <w:rPr>
          <w:rFonts w:hint="eastAsia" w:ascii="仿宋_GB2312" w:hAnsi="仿宋_GB2312" w:eastAsia="仿宋_GB2312" w:cs="仿宋_GB2312"/>
          <w:b/>
          <w:sz w:val="24"/>
        </w:rPr>
      </w:pPr>
    </w:p>
    <w:tbl>
      <w:tblPr>
        <w:tblStyle w:val="8"/>
        <w:tblW w:w="5171" w:type="pct"/>
        <w:tblInd w:w="-245" w:type="dxa"/>
        <w:tblLayout w:type="autofit"/>
        <w:tblCellMar>
          <w:top w:w="0" w:type="dxa"/>
          <w:left w:w="108" w:type="dxa"/>
          <w:bottom w:w="0" w:type="dxa"/>
          <w:right w:w="108" w:type="dxa"/>
        </w:tblCellMar>
      </w:tblPr>
      <w:tblGrid>
        <w:gridCol w:w="1168"/>
        <w:gridCol w:w="628"/>
        <w:gridCol w:w="991"/>
        <w:gridCol w:w="850"/>
        <w:gridCol w:w="992"/>
        <w:gridCol w:w="853"/>
        <w:gridCol w:w="708"/>
        <w:gridCol w:w="850"/>
        <w:gridCol w:w="853"/>
        <w:gridCol w:w="708"/>
        <w:gridCol w:w="708"/>
        <w:gridCol w:w="708"/>
        <w:gridCol w:w="708"/>
        <w:gridCol w:w="708"/>
        <w:gridCol w:w="754"/>
        <w:gridCol w:w="800"/>
        <w:gridCol w:w="708"/>
        <w:gridCol w:w="777"/>
      </w:tblGrid>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组别</w:t>
            </w:r>
          </w:p>
        </w:tc>
        <w:tc>
          <w:tcPr>
            <w:tcW w:w="21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性别</w:t>
            </w:r>
          </w:p>
        </w:tc>
        <w:tc>
          <w:tcPr>
            <w:tcW w:w="34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注册证号</w:t>
            </w:r>
          </w:p>
        </w:tc>
        <w:tc>
          <w:tcPr>
            <w:tcW w:w="2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姓 名</w:t>
            </w:r>
          </w:p>
        </w:tc>
        <w:tc>
          <w:tcPr>
            <w:tcW w:w="34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出生年月</w:t>
            </w:r>
          </w:p>
        </w:tc>
        <w:tc>
          <w:tcPr>
            <w:tcW w:w="29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项目1</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成绩1</w:t>
            </w:r>
          </w:p>
        </w:tc>
        <w:tc>
          <w:tcPr>
            <w:tcW w:w="2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项目2</w:t>
            </w:r>
          </w:p>
        </w:tc>
        <w:tc>
          <w:tcPr>
            <w:tcW w:w="29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成绩2</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项目3</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成绩3</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项目4</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成绩4</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项目5</w:t>
            </w:r>
          </w:p>
        </w:tc>
        <w:tc>
          <w:tcPr>
            <w:tcW w:w="2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成绩5</w:t>
            </w:r>
          </w:p>
        </w:tc>
        <w:tc>
          <w:tcPr>
            <w:tcW w:w="27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项目6</w:t>
            </w:r>
          </w:p>
        </w:tc>
        <w:tc>
          <w:tcPr>
            <w:tcW w:w="2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成绩6</w:t>
            </w:r>
          </w:p>
        </w:tc>
        <w:tc>
          <w:tcPr>
            <w:tcW w:w="26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b/>
                <w:color w:val="000000"/>
                <w:kern w:val="0"/>
                <w:sz w:val="18"/>
                <w:szCs w:val="18"/>
              </w:rPr>
            </w:pPr>
            <w:r>
              <w:rPr>
                <w:rFonts w:hint="eastAsia" w:ascii="仿宋_GB2312" w:hAnsi="仿宋_GB2312" w:eastAsia="仿宋_GB2312" w:cs="仿宋_GB2312"/>
                <w:b/>
                <w:color w:val="000000"/>
                <w:kern w:val="0"/>
                <w:sz w:val="18"/>
                <w:szCs w:val="18"/>
              </w:rPr>
              <w:t>备注</w:t>
            </w:r>
          </w:p>
        </w:tc>
      </w:tr>
      <w:tr>
        <w:tblPrEx>
          <w:tblCellMar>
            <w:top w:w="0" w:type="dxa"/>
            <w:left w:w="108" w:type="dxa"/>
            <w:bottom w:w="0" w:type="dxa"/>
            <w:right w:w="108" w:type="dxa"/>
          </w:tblCellMar>
        </w:tblPrEx>
        <w:trPr>
          <w:trHeight w:val="863" w:hRule="atLeast"/>
        </w:trPr>
        <w:tc>
          <w:tcPr>
            <w:tcW w:w="403" w:type="pct"/>
            <w:tcBorders>
              <w:top w:val="nil"/>
              <w:left w:val="single" w:color="auto" w:sz="4" w:space="0"/>
              <w:bottom w:val="single" w:color="auto" w:sz="4" w:space="0"/>
              <w:right w:val="single" w:color="auto" w:sz="4" w:space="0"/>
            </w:tcBorders>
            <w:noWrap w:val="0"/>
            <w:vAlign w:val="center"/>
          </w:tcPr>
          <w:p>
            <w:pPr>
              <w:widowControl/>
              <w:rPr>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r>
              <w:rPr>
                <w:color w:val="000000"/>
                <w:kern w:val="0"/>
                <w:sz w:val="18"/>
                <w:szCs w:val="18"/>
              </w:rPr>
              <w:t>　</w:t>
            </w: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r>
              <w:rPr>
                <w:color w:val="000000"/>
                <w:kern w:val="0"/>
                <w:sz w:val="18"/>
                <w:szCs w:val="18"/>
              </w:rPr>
              <w:t>　</w:t>
            </w: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r>
              <w:rPr>
                <w:color w:val="000000"/>
                <w:kern w:val="0"/>
                <w:sz w:val="18"/>
                <w:szCs w:val="18"/>
              </w:rPr>
              <w:t>　</w:t>
            </w: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r>
              <w:rPr>
                <w:color w:val="000000"/>
                <w:kern w:val="0"/>
                <w:sz w:val="18"/>
                <w:szCs w:val="18"/>
              </w:rPr>
              <w:t>　</w:t>
            </w: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nil"/>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nil"/>
              <w:left w:val="nil"/>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r>
      <w:tr>
        <w:tblPrEx>
          <w:tblCellMar>
            <w:top w:w="0" w:type="dxa"/>
            <w:left w:w="108" w:type="dxa"/>
            <w:bottom w:w="0" w:type="dxa"/>
            <w:right w:w="108" w:type="dxa"/>
          </w:tblCellMar>
        </w:tblPrEx>
        <w:trPr>
          <w:trHeight w:val="510" w:hRule="atLeast"/>
        </w:trPr>
        <w:tc>
          <w:tcPr>
            <w:tcW w:w="4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color w:val="000000"/>
                <w:kern w:val="0"/>
                <w:sz w:val="18"/>
                <w:szCs w:val="18"/>
              </w:rPr>
            </w:pPr>
          </w:p>
        </w:tc>
        <w:tc>
          <w:tcPr>
            <w:tcW w:w="21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34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7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4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c>
          <w:tcPr>
            <w:tcW w:w="26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 w:val="18"/>
                <w:szCs w:val="18"/>
              </w:rPr>
            </w:pPr>
          </w:p>
        </w:tc>
      </w:tr>
    </w:tbl>
    <w:p>
      <w:pPr>
        <w:snapToGrid w:val="0"/>
        <w:spacing w:line="576" w:lineRule="exact"/>
        <w:rPr>
          <w:rFonts w:eastAsia="仿宋_GB2312"/>
          <w:sz w:val="28"/>
          <w:szCs w:val="28"/>
        </w:rPr>
      </w:pPr>
    </w:p>
    <w:sectPr>
      <w:pgSz w:w="16838" w:h="11906" w:orient="landscape"/>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A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2EFF" w:usb1="D200FDFF" w:usb2="0A246029" w:usb3="00000000" w:csb0="600001FF" w:csb1="DFFF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aYJL0wAAAAUBAAAPAAAAAAAAAAEAIAAAADgAAABkcnMvZG93bnJldi54bWxQ&#10;SwECFAAUAAAACACHTuJAvbpsrOYBAADIAwAADgAAAAAAAAABACAAAAA4AQAAZHJzL2Uyb0RvYy54&#10;bWxQSwUGAAAAAAYABgBZAQAAkAUAAAAA&#10;">
              <v:fill on="f" focussize="0,0"/>
              <v:stroke on="f" weight="1.2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aYJL0wAAAAUBAAAPAAAAAAAAAAEAIAAAADgAAABkcnMvZG93bnJldi54bWxQ&#10;SwECFAAUAAAACACHTuJAGACmVuYBAADIAwAADgAAAAAAAAABACAAAAA4AQAAZHJzL2Uyb0RvYy54&#10;bWxQSwUGAAAAAAYABgBZAQAAkAUAAAAA&#10;">
              <v:fill on="f" focussize="0,0"/>
              <v:stroke on="f" weight="1.2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3YmExZTVlMjMyNGMxNTkxZGRjZjA5M2MyNTAxN2QifQ=="/>
  </w:docVars>
  <w:rsids>
    <w:rsidRoot w:val="00172A27"/>
    <w:rsid w:val="002E77DE"/>
    <w:rsid w:val="006243FE"/>
    <w:rsid w:val="006A427F"/>
    <w:rsid w:val="009111E3"/>
    <w:rsid w:val="00A35583"/>
    <w:rsid w:val="00A67B27"/>
    <w:rsid w:val="00BB02D0"/>
    <w:rsid w:val="00F26574"/>
    <w:rsid w:val="20C406D9"/>
    <w:rsid w:val="3CF7E973"/>
    <w:rsid w:val="498F46B0"/>
    <w:rsid w:val="54FE4341"/>
    <w:rsid w:val="5FFF2B67"/>
    <w:rsid w:val="608B4027"/>
    <w:rsid w:val="66DAF8B0"/>
    <w:rsid w:val="79DE7235"/>
    <w:rsid w:val="79EC3E1F"/>
    <w:rsid w:val="7E97DAAA"/>
    <w:rsid w:val="7EFEE22F"/>
    <w:rsid w:val="7F764E9C"/>
    <w:rsid w:val="B7EFC445"/>
    <w:rsid w:val="BBFFF142"/>
    <w:rsid w:val="BDFE2A69"/>
    <w:rsid w:val="DD37E8C3"/>
    <w:rsid w:val="FF3F51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qFormat/>
    <w:uiPriority w:val="1"/>
    <w:pPr>
      <w:autoSpaceDE w:val="0"/>
      <w:autoSpaceDN w:val="0"/>
      <w:jc w:val="left"/>
    </w:pPr>
    <w:rPr>
      <w:rFonts w:ascii="宋体" w:hAnsi="宋体" w:eastAsia="宋体" w:cs="宋体"/>
      <w:kern w:val="0"/>
      <w:sz w:val="28"/>
      <w:szCs w:val="28"/>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HTML Preformatted"/>
    <w:basedOn w:val="1"/>
    <w:link w:val="12"/>
    <w:qFormat/>
    <w:uiPriority w:val="0"/>
    <w:rPr>
      <w:rFonts w:ascii="Courier New" w:hAnsi="Courier New" w:cs="Courier New"/>
      <w:sz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character" w:customStyle="1" w:styleId="11">
    <w:name w:val="批注文字 字符"/>
    <w:link w:val="2"/>
    <w:qFormat/>
    <w:uiPriority w:val="0"/>
    <w:rPr>
      <w:kern w:val="2"/>
      <w:sz w:val="21"/>
    </w:rPr>
  </w:style>
  <w:style w:type="character" w:customStyle="1" w:styleId="12">
    <w:name w:val="HTML 预设格式 字符"/>
    <w:link w:val="6"/>
    <w:qFormat/>
    <w:uiPriority w:val="0"/>
    <w:rPr>
      <w:rFonts w:ascii="Courier New" w:hAnsi="Courier New" w:cs="Courier New"/>
      <w:kern w:val="2"/>
    </w:rPr>
  </w:style>
  <w:style w:type="character" w:customStyle="1" w:styleId="13">
    <w:name w:val="批注主题 字符"/>
    <w:link w:val="7"/>
    <w:qFormat/>
    <w:uiPriority w:val="0"/>
    <w:rPr>
      <w:b/>
      <w:bCs/>
      <w:kern w:val="2"/>
      <w:sz w:val="21"/>
    </w:rPr>
  </w:style>
  <w:style w:type="paragraph" w:customStyle="1" w:styleId="14">
    <w:name w:val="Char"/>
    <w:basedOn w:val="1"/>
    <w:qFormat/>
    <w:uiPriority w:val="0"/>
    <w:pPr>
      <w:tabs>
        <w:tab w:val="left" w:pos="360"/>
      </w:tabs>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2473</Words>
  <Characters>2645</Characters>
  <Lines>226</Lines>
  <Paragraphs>105</Paragraphs>
  <TotalTime>0</TotalTime>
  <ScaleCrop>false</ScaleCrop>
  <LinksUpToDate>false</LinksUpToDate>
  <CharactersWithSpaces>2783</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2025-08-22T05:43:00Z</dcterms:created>
  <dc:creator>user</dc:creator>
  <cp:lastModifiedBy>user</cp:lastModifiedBy>
  <dcterms:modified xsi:type="dcterms:W3CDTF">2026-01-04T17:05:10Z</dcterms:modified>
  <dc:title>附件12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KSOTemplateDocerSaveRecord">
    <vt:lpwstr>eyJoZGlkIjoiZDkwOWE0MjNlNDgzYzllNWIzMTAzYjRhYmViZmRjMjUiLCJ1c2VySWQiOiIzMDI0NzcxNzcifQ==</vt:lpwstr>
  </property>
  <property fmtid="{D5CDD505-2E9C-101B-9397-08002B2CF9AE}" pid="4" name="ICV">
    <vt:lpwstr>346CD37FDE604DB7819E019601562444_12</vt:lpwstr>
  </property>
</Properties>
</file>