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hAnsi="黑体" w:eastAsia="黑体" w:cs="黑体"/>
          <w:bCs/>
          <w:color w:val="000000"/>
          <w:sz w:val="32"/>
          <w:szCs w:val="32"/>
        </w:rPr>
      </w:pPr>
      <w:r>
        <w:rPr>
          <w:rFonts w:hint="eastAsia" w:ascii="黑体" w:hAnsi="黑体" w:eastAsia="黑体" w:cs="黑体"/>
          <w:bCs/>
          <w:color w:val="000000"/>
          <w:sz w:val="32"/>
          <w:szCs w:val="32"/>
        </w:rPr>
        <w:t>附件14</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bCs/>
          <w:color w:val="000000"/>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bCs/>
          <w:color w:val="000000"/>
          <w:sz w:val="44"/>
          <w:szCs w:val="44"/>
        </w:rPr>
      </w:pPr>
      <w:r>
        <w:rPr>
          <w:rFonts w:hint="eastAsia" w:ascii="方正小标宋简体" w:hAnsi="方正小标宋简体" w:eastAsia="方正小标宋简体"/>
          <w:bCs/>
          <w:color w:val="000000"/>
          <w:sz w:val="44"/>
          <w:szCs w:val="44"/>
        </w:rPr>
        <w:t>海南省第七届运动会乒乓球项目竞赛规程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rPr>
      </w:pPr>
    </w:p>
    <w:p>
      <w:pPr>
        <w:keepNext w:val="0"/>
        <w:keepLines w:val="0"/>
        <w:pageBreakBefore w:val="0"/>
        <w:kinsoku/>
        <w:wordWrap/>
        <w:overflowPunct/>
        <w:topLinePunct w:val="0"/>
        <w:bidi w:val="0"/>
        <w:snapToGrid/>
        <w:spacing w:line="560" w:lineRule="exact"/>
        <w:ind w:firstLine="632" w:firstLineChars="200"/>
        <w:textAlignment w:val="auto"/>
        <w:rPr>
          <w:rFonts w:hint="eastAsia" w:ascii="黑体" w:hAnsi="黑体" w:eastAsia="黑体"/>
          <w:bCs/>
          <w:color w:val="000000"/>
        </w:rPr>
      </w:pPr>
      <w:r>
        <w:rPr>
          <w:rFonts w:hint="eastAsia" w:ascii="黑体" w:hAnsi="黑体" w:eastAsia="黑体"/>
          <w:bCs/>
          <w:color w:val="000000"/>
        </w:rPr>
        <w:t>一、竞赛日期和地点</w:t>
      </w:r>
    </w:p>
    <w:p>
      <w:pPr>
        <w:keepNext w:val="0"/>
        <w:keepLines w:val="0"/>
        <w:pageBreakBefore w:val="0"/>
        <w:kinsoku/>
        <w:wordWrap/>
        <w:overflowPunct/>
        <w:topLinePunct w:val="0"/>
        <w:bidi w:val="0"/>
        <w:snapToGrid/>
        <w:spacing w:line="560" w:lineRule="exact"/>
        <w:ind w:firstLine="632" w:firstLineChars="200"/>
        <w:textAlignment w:val="auto"/>
        <w:rPr>
          <w:rFonts w:ascii="楷体_GB2312"/>
          <w:color w:val="000000"/>
          <w:lang w:val="en"/>
        </w:rPr>
      </w:pPr>
      <w:r>
        <w:rPr>
          <w:rFonts w:hint="eastAsia" w:ascii="楷体_GB2312" w:hAnsi="楷体_GB2312" w:eastAsia="楷体_GB2312" w:cs="楷体_GB2312"/>
          <w:color w:val="000000"/>
        </w:rPr>
        <w:t>（一）时间：</w:t>
      </w:r>
      <w:r>
        <w:rPr>
          <w:rFonts w:hint="eastAsia" w:ascii="仿宋_GB2312" w:hAnsi="仿宋_GB2312" w:eastAsia="仿宋_GB2312" w:cs="仿宋_GB2312"/>
          <w:kern w:val="0"/>
          <w:sz w:val="32"/>
          <w:szCs w:val="32"/>
        </w:rPr>
        <w:t>2026年8月（具体时间待定）</w:t>
      </w:r>
    </w:p>
    <w:p>
      <w:pPr>
        <w:keepNext w:val="0"/>
        <w:keepLines w:val="0"/>
        <w:pageBreakBefore w:val="0"/>
        <w:kinsoku/>
        <w:wordWrap/>
        <w:overflowPunct/>
        <w:topLinePunct w:val="0"/>
        <w:bidi w:val="0"/>
        <w:snapToGrid/>
        <w:spacing w:line="560" w:lineRule="exact"/>
        <w:ind w:firstLine="632" w:firstLineChars="200"/>
        <w:textAlignment w:val="auto"/>
        <w:rPr>
          <w:color w:val="000000"/>
          <w:lang w:val="en"/>
        </w:rPr>
      </w:pPr>
      <w:r>
        <w:rPr>
          <w:rFonts w:hint="eastAsia" w:ascii="楷体_GB2312" w:hAnsi="楷体_GB2312" w:eastAsia="楷体_GB2312" w:cs="楷体_GB2312"/>
          <w:color w:val="000000"/>
        </w:rPr>
        <w:t>（二）地点：</w:t>
      </w:r>
      <w:r>
        <w:rPr>
          <w:rFonts w:hint="eastAsia" w:ascii="仿宋_GB2312" w:hAnsi="仿宋_GB2312" w:eastAsia="仿宋_GB2312" w:cs="仿宋_GB2312"/>
          <w:kern w:val="0"/>
          <w:sz w:val="32"/>
          <w:szCs w:val="32"/>
          <w:lang w:eastAsia="zh-CN"/>
        </w:rPr>
        <w:t>琼海市</w:t>
      </w:r>
    </w:p>
    <w:p>
      <w:pPr>
        <w:keepNext w:val="0"/>
        <w:keepLines w:val="0"/>
        <w:pageBreakBefore w:val="0"/>
        <w:kinsoku/>
        <w:wordWrap/>
        <w:overflowPunct/>
        <w:topLinePunct w:val="0"/>
        <w:bidi w:val="0"/>
        <w:snapToGrid/>
        <w:spacing w:line="560" w:lineRule="exact"/>
        <w:ind w:firstLine="632" w:firstLineChars="200"/>
        <w:textAlignment w:val="auto"/>
        <w:rPr>
          <w:rFonts w:hint="eastAsia" w:ascii="黑体" w:hAnsi="黑体" w:eastAsia="黑体"/>
          <w:bCs/>
        </w:rPr>
      </w:pPr>
      <w:r>
        <w:rPr>
          <w:rFonts w:hint="eastAsia" w:ascii="黑体" w:hAnsi="黑体" w:eastAsia="黑体"/>
          <w:bCs/>
        </w:rPr>
        <w:t>二、竞赛项目</w:t>
      </w:r>
    </w:p>
    <w:p>
      <w:pPr>
        <w:keepNext w:val="0"/>
        <w:keepLines w:val="0"/>
        <w:pageBreakBefore w:val="0"/>
        <w:kinsoku/>
        <w:wordWrap/>
        <w:overflowPunct/>
        <w:topLinePunct w:val="0"/>
        <w:bidi w:val="0"/>
        <w:snapToGrid/>
        <w:spacing w:line="560" w:lineRule="exact"/>
        <w:ind w:firstLine="632" w:firstLineChars="200"/>
        <w:textAlignment w:val="auto"/>
        <w:rPr>
          <w:rFonts w:hint="eastAsia"/>
        </w:rPr>
      </w:pPr>
      <w:r>
        <w:rPr>
          <w:rFonts w:hint="eastAsia"/>
        </w:rPr>
        <w:t>甲组：男子团体、女子团体、男子单打、女子单打、男子双打、女子双打、混合双打</w:t>
      </w:r>
    </w:p>
    <w:p>
      <w:pPr>
        <w:keepNext w:val="0"/>
        <w:keepLines w:val="0"/>
        <w:pageBreakBefore w:val="0"/>
        <w:kinsoku/>
        <w:wordWrap/>
        <w:overflowPunct/>
        <w:topLinePunct w:val="0"/>
        <w:bidi w:val="0"/>
        <w:snapToGrid/>
        <w:spacing w:line="560" w:lineRule="exact"/>
        <w:ind w:firstLine="632" w:firstLineChars="200"/>
        <w:textAlignment w:val="auto"/>
        <w:rPr>
          <w:rFonts w:hint="eastAsia"/>
        </w:rPr>
      </w:pPr>
      <w:r>
        <w:rPr>
          <w:rFonts w:hint="eastAsia"/>
        </w:rPr>
        <w:t>乙组：男子团体、女子团体、男子单打、女子单打、男子双打、女子双打、混合双打</w:t>
      </w:r>
    </w:p>
    <w:p>
      <w:pPr>
        <w:keepNext w:val="0"/>
        <w:keepLines w:val="0"/>
        <w:pageBreakBefore w:val="0"/>
        <w:kinsoku/>
        <w:wordWrap/>
        <w:overflowPunct/>
        <w:topLinePunct w:val="0"/>
        <w:bidi w:val="0"/>
        <w:snapToGrid/>
        <w:spacing w:line="560" w:lineRule="exact"/>
        <w:ind w:firstLine="632" w:firstLineChars="200"/>
        <w:textAlignment w:val="auto"/>
      </w:pPr>
      <w:r>
        <w:rPr>
          <w:rFonts w:hint="eastAsia"/>
        </w:rPr>
        <w:t>丙组：男子团体、女子团体、男子单打、女子单打、男子双打、女子双打、混合双打</w:t>
      </w:r>
    </w:p>
    <w:p>
      <w:pPr>
        <w:keepNext w:val="0"/>
        <w:keepLines w:val="0"/>
        <w:pageBreakBefore w:val="0"/>
        <w:kinsoku/>
        <w:wordWrap/>
        <w:overflowPunct/>
        <w:topLinePunct w:val="0"/>
        <w:bidi w:val="0"/>
        <w:snapToGrid/>
        <w:spacing w:line="560" w:lineRule="exact"/>
        <w:ind w:firstLine="632" w:firstLineChars="200"/>
        <w:textAlignment w:val="auto"/>
        <w:rPr>
          <w:rFonts w:hint="eastAsia" w:ascii="黑体" w:hAnsi="黑体" w:eastAsia="黑体"/>
          <w:bCs/>
        </w:rPr>
      </w:pPr>
      <w:r>
        <w:rPr>
          <w:rFonts w:ascii="楷体_GB2312" w:hAnsi="楷体_GB2312" w:eastAsia="楷体_GB2312"/>
          <w:lang w:val="en"/>
        </w:rPr>
        <w:t xml:space="preserve"> </w:t>
      </w:r>
      <w:r>
        <w:rPr>
          <w:rFonts w:hint="eastAsia" w:ascii="黑体" w:hAnsi="黑体" w:eastAsia="黑体"/>
          <w:bCs/>
        </w:rPr>
        <w:t>三、参加单位</w:t>
      </w:r>
    </w:p>
    <w:p>
      <w:pPr>
        <w:keepNext w:val="0"/>
        <w:keepLines w:val="0"/>
        <w:pageBreakBefore w:val="0"/>
        <w:widowControl/>
        <w:kinsoku/>
        <w:wordWrap/>
        <w:overflowPunct/>
        <w:topLinePunct w:val="0"/>
        <w:autoSpaceDE w:val="0"/>
        <w:autoSpaceDN w:val="0"/>
        <w:bidi w:val="0"/>
        <w:adjustRightInd w:val="0"/>
        <w:snapToGrid/>
        <w:spacing w:before="0" w:after="0" w:line="560" w:lineRule="exact"/>
        <w:ind w:left="0" w:leftChars="0" w:right="0" w:firstLine="632" w:firstLineChars="200"/>
        <w:jc w:val="both"/>
        <w:textAlignment w:val="auto"/>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由</w:t>
      </w:r>
      <w:r>
        <w:rPr>
          <w:rFonts w:hint="eastAsia" w:ascii="仿宋_GB2312" w:hAnsi="仿宋_GB2312" w:eastAsia="仿宋_GB2312" w:cs="仿宋_GB2312"/>
          <w:kern w:val="0"/>
          <w:sz w:val="32"/>
          <w:szCs w:val="32"/>
        </w:rPr>
        <w:t>各市、县、自治县人民政府</w:t>
      </w:r>
      <w:r>
        <w:rPr>
          <w:rFonts w:hint="eastAsia" w:ascii="仿宋_GB2312" w:hAnsi="仿宋_GB2312" w:eastAsia="仿宋_GB2312" w:cs="仿宋_GB2312"/>
          <w:kern w:val="0"/>
          <w:sz w:val="32"/>
          <w:szCs w:val="32"/>
          <w:lang w:eastAsia="zh-CN"/>
        </w:rPr>
        <w:t>组队参赛。</w:t>
      </w:r>
    </w:p>
    <w:p>
      <w:pPr>
        <w:keepNext w:val="0"/>
        <w:keepLines w:val="0"/>
        <w:pageBreakBefore w:val="0"/>
        <w:kinsoku/>
        <w:wordWrap/>
        <w:overflowPunct/>
        <w:topLinePunct w:val="0"/>
        <w:bidi w:val="0"/>
        <w:snapToGrid/>
        <w:spacing w:line="560" w:lineRule="exact"/>
        <w:ind w:firstLine="632" w:firstLineChars="200"/>
        <w:textAlignment w:val="auto"/>
        <w:rPr>
          <w:rFonts w:hint="eastAsia" w:ascii="黑体" w:hAnsi="黑体" w:eastAsia="黑体"/>
          <w:bCs/>
        </w:rPr>
      </w:pPr>
      <w:r>
        <w:rPr>
          <w:rFonts w:ascii="黑体"/>
          <w:lang w:val="en"/>
        </w:rPr>
        <w:t xml:space="preserve"> </w:t>
      </w:r>
      <w:r>
        <w:rPr>
          <w:rFonts w:hint="eastAsia" w:ascii="黑体" w:hAnsi="黑体" w:eastAsia="黑体"/>
          <w:bCs/>
        </w:rPr>
        <w:t>四、参加办法</w:t>
      </w:r>
    </w:p>
    <w:p>
      <w:pPr>
        <w:keepNext w:val="0"/>
        <w:keepLines w:val="0"/>
        <w:pageBreakBefore w:val="0"/>
        <w:kinsoku/>
        <w:wordWrap/>
        <w:overflowPunct/>
        <w:topLinePunct w:val="0"/>
        <w:bidi w:val="0"/>
        <w:snapToGrid/>
        <w:spacing w:line="560" w:lineRule="exact"/>
        <w:ind w:firstLine="632" w:firstLineChars="200"/>
        <w:textAlignment w:val="auto"/>
        <w:rPr>
          <w:rFonts w:hint="eastAsia" w:ascii="楷体_GB2312" w:hAnsi="楷体_GB2312" w:eastAsia="楷体_GB2312"/>
        </w:rPr>
      </w:pPr>
      <w:r>
        <w:rPr>
          <w:rFonts w:hint="eastAsia" w:ascii="楷体_GB2312" w:hAnsi="楷体_GB2312" w:eastAsia="楷体_GB2312"/>
        </w:rPr>
        <w:t>（一）参赛人数及规定</w:t>
      </w:r>
    </w:p>
    <w:p>
      <w:pPr>
        <w:keepNext w:val="0"/>
        <w:keepLines w:val="0"/>
        <w:pageBreakBefore w:val="0"/>
        <w:kinsoku/>
        <w:wordWrap/>
        <w:overflowPunct/>
        <w:topLinePunct w:val="0"/>
        <w:bidi w:val="0"/>
        <w:snapToGrid/>
        <w:spacing w:line="560" w:lineRule="exact"/>
        <w:ind w:firstLine="632" w:firstLineChars="200"/>
        <w:textAlignment w:val="auto"/>
        <w:rPr>
          <w:rFonts w:hint="eastAsia"/>
        </w:rPr>
      </w:pPr>
      <w:r>
        <w:rPr>
          <w:rFonts w:hint="eastAsia"/>
        </w:rPr>
        <w:t>1.各单位限报1支代表队，每队限报41人（领队1人、教练员3人，队医1人，运动员36人）。</w:t>
      </w:r>
    </w:p>
    <w:p>
      <w:pPr>
        <w:keepNext w:val="0"/>
        <w:keepLines w:val="0"/>
        <w:pageBreakBefore w:val="0"/>
        <w:kinsoku/>
        <w:wordWrap/>
        <w:overflowPunct/>
        <w:topLinePunct w:val="0"/>
        <w:bidi w:val="0"/>
        <w:snapToGrid/>
        <w:spacing w:line="560" w:lineRule="exact"/>
        <w:ind w:firstLine="632" w:firstLineChars="200"/>
        <w:textAlignment w:val="auto"/>
        <w:rPr>
          <w:rFonts w:hint="eastAsia"/>
        </w:rPr>
      </w:pPr>
      <w:r>
        <w:rPr>
          <w:rFonts w:hint="eastAsia"/>
        </w:rPr>
        <w:t>2.领队和教练员：参赛项目不足15项的，每队限报领队1名、教练员2名；参赛项目不足10项的，每队限报领队1名、教练员1名；参赛项目不足5项（含）的，每队限报领队兼教练员1名。</w:t>
      </w:r>
    </w:p>
    <w:p>
      <w:pPr>
        <w:keepNext w:val="0"/>
        <w:keepLines w:val="0"/>
        <w:pageBreakBefore w:val="0"/>
        <w:kinsoku/>
        <w:wordWrap/>
        <w:overflowPunct/>
        <w:topLinePunct w:val="0"/>
        <w:bidi w:val="0"/>
        <w:snapToGrid/>
        <w:spacing w:line="560" w:lineRule="exact"/>
        <w:ind w:firstLine="632" w:firstLineChars="200"/>
        <w:textAlignment w:val="auto"/>
        <w:rPr>
          <w:rFonts w:hint="eastAsia"/>
        </w:rPr>
      </w:pPr>
      <w:r>
        <w:rPr>
          <w:rFonts w:hint="eastAsia"/>
        </w:rPr>
        <w:t>3.运动员：各组别每队男、女各6人，各组别团体项目每队限报1队，各组别单打项目每队限报3人，各组别双打、混双项目每队限报2对；各组别团体比赛每队限报5人，且不得少于3人。</w:t>
      </w:r>
    </w:p>
    <w:p>
      <w:pPr>
        <w:keepNext w:val="0"/>
        <w:keepLines w:val="0"/>
        <w:pageBreakBefore w:val="0"/>
        <w:kinsoku/>
        <w:wordWrap/>
        <w:overflowPunct/>
        <w:topLinePunct w:val="0"/>
        <w:bidi w:val="0"/>
        <w:snapToGrid/>
        <w:spacing w:line="560" w:lineRule="exact"/>
        <w:ind w:firstLine="632" w:firstLineChars="200"/>
        <w:textAlignment w:val="auto"/>
      </w:pPr>
      <w:r>
        <w:rPr>
          <w:rFonts w:hint="eastAsia"/>
        </w:rPr>
        <w:t>4</w:t>
      </w:r>
      <w:r>
        <w:t>.</w:t>
      </w:r>
      <w:r>
        <w:rPr>
          <w:rFonts w:hint="eastAsia"/>
        </w:rPr>
        <w:t>每名运动员只可参加1个组别的比赛。</w:t>
      </w:r>
    </w:p>
    <w:p>
      <w:pPr>
        <w:keepNext w:val="0"/>
        <w:keepLines w:val="0"/>
        <w:pageBreakBefore w:val="0"/>
        <w:kinsoku/>
        <w:wordWrap/>
        <w:overflowPunct/>
        <w:topLinePunct w:val="0"/>
        <w:bidi w:val="0"/>
        <w:snapToGrid/>
        <w:spacing w:line="560" w:lineRule="exact"/>
        <w:ind w:firstLine="632" w:firstLineChars="200"/>
        <w:textAlignment w:val="auto"/>
        <w:rPr>
          <w:rFonts w:hint="eastAsia"/>
        </w:rPr>
      </w:pPr>
      <w:r>
        <w:rPr>
          <w:rFonts w:hint="eastAsia"/>
        </w:rPr>
        <w:t>5.每名运动员只能代表一个单位参赛。双打、混双的运动员不能跨单位配对。</w:t>
      </w:r>
    </w:p>
    <w:p>
      <w:pPr>
        <w:keepNext w:val="0"/>
        <w:keepLines w:val="0"/>
        <w:pageBreakBefore w:val="0"/>
        <w:kinsoku/>
        <w:wordWrap/>
        <w:overflowPunct/>
        <w:topLinePunct w:val="0"/>
        <w:bidi w:val="0"/>
        <w:snapToGrid/>
        <w:spacing w:line="560" w:lineRule="exact"/>
        <w:ind w:firstLine="632" w:firstLineChars="200"/>
        <w:textAlignment w:val="auto"/>
      </w:pPr>
      <w:r>
        <w:rPr>
          <w:rFonts w:hint="eastAsia"/>
        </w:rPr>
        <w:t>6.符合《海南省第七届运动会竞赛规程总则》中相关规定。</w:t>
      </w:r>
    </w:p>
    <w:p>
      <w:pPr>
        <w:keepNext w:val="0"/>
        <w:keepLines w:val="0"/>
        <w:pageBreakBefore w:val="0"/>
        <w:kinsoku/>
        <w:wordWrap/>
        <w:overflowPunct/>
        <w:topLinePunct w:val="0"/>
        <w:bidi w:val="0"/>
        <w:snapToGrid/>
        <w:spacing w:line="560" w:lineRule="exact"/>
        <w:ind w:firstLine="632" w:firstLineChars="200"/>
        <w:textAlignment w:val="auto"/>
        <w:rPr>
          <w:rFonts w:ascii="楷体_GB2312" w:hAnsi="楷体_GB2312" w:eastAsia="楷体_GB2312"/>
        </w:rPr>
      </w:pPr>
      <w:r>
        <w:rPr>
          <w:rFonts w:hint="eastAsia" w:ascii="楷体_GB2312" w:hAnsi="楷体_GB2312" w:eastAsia="楷体_GB2312"/>
        </w:rPr>
        <w:t>（二）年龄规定</w:t>
      </w:r>
    </w:p>
    <w:p>
      <w:pPr>
        <w:keepNext w:val="0"/>
        <w:keepLines w:val="0"/>
        <w:pageBreakBefore w:val="0"/>
        <w:kinsoku/>
        <w:wordWrap/>
        <w:overflowPunct/>
        <w:topLinePunct w:val="0"/>
        <w:bidi w:val="0"/>
        <w:snapToGrid/>
        <w:spacing w:line="560" w:lineRule="exact"/>
        <w:ind w:firstLine="632" w:firstLineChars="200"/>
        <w:textAlignment w:val="auto"/>
        <w:rPr>
          <w:rFonts w:hint="eastAsia"/>
        </w:rPr>
      </w:pPr>
      <w:r>
        <w:rPr>
          <w:rFonts w:hint="eastAsia"/>
        </w:rPr>
        <w:t>甲组：即U19组，2007年1月1日及以后出生。</w:t>
      </w:r>
    </w:p>
    <w:p>
      <w:pPr>
        <w:keepNext w:val="0"/>
        <w:keepLines w:val="0"/>
        <w:pageBreakBefore w:val="0"/>
        <w:kinsoku/>
        <w:wordWrap/>
        <w:overflowPunct/>
        <w:topLinePunct w:val="0"/>
        <w:bidi w:val="0"/>
        <w:snapToGrid/>
        <w:spacing w:line="560" w:lineRule="exact"/>
        <w:ind w:firstLine="632" w:firstLineChars="200"/>
        <w:textAlignment w:val="auto"/>
        <w:rPr>
          <w:rFonts w:hint="eastAsia"/>
        </w:rPr>
      </w:pPr>
      <w:r>
        <w:rPr>
          <w:rFonts w:hint="eastAsia"/>
        </w:rPr>
        <w:t>乙组：即U15组，2011年1月1日及以后出生。</w:t>
      </w:r>
    </w:p>
    <w:p>
      <w:pPr>
        <w:keepNext w:val="0"/>
        <w:keepLines w:val="0"/>
        <w:pageBreakBefore w:val="0"/>
        <w:kinsoku/>
        <w:wordWrap/>
        <w:overflowPunct/>
        <w:topLinePunct w:val="0"/>
        <w:bidi w:val="0"/>
        <w:snapToGrid/>
        <w:spacing w:line="560" w:lineRule="exact"/>
        <w:ind w:firstLine="632" w:firstLineChars="200"/>
        <w:textAlignment w:val="auto"/>
        <w:rPr>
          <w:rFonts w:hint="eastAsia"/>
        </w:rPr>
      </w:pPr>
      <w:r>
        <w:rPr>
          <w:rFonts w:hint="eastAsia"/>
        </w:rPr>
        <w:t>丙组：即U13组，2013年1月1日及以后出生。</w:t>
      </w:r>
    </w:p>
    <w:p>
      <w:pPr>
        <w:keepNext w:val="0"/>
        <w:keepLines w:val="0"/>
        <w:pageBreakBefore w:val="0"/>
        <w:tabs>
          <w:tab w:val="left" w:pos="0"/>
        </w:tabs>
        <w:kinsoku/>
        <w:wordWrap/>
        <w:overflowPunct/>
        <w:topLinePunct w:val="0"/>
        <w:bidi w:val="0"/>
        <w:snapToGrid/>
        <w:spacing w:line="560" w:lineRule="exact"/>
        <w:ind w:firstLine="632" w:firstLineChars="200"/>
        <w:textAlignment w:val="auto"/>
        <w:rPr>
          <w:rFonts w:hint="eastAsia" w:ascii="黑体" w:hAnsi="黑体" w:eastAsia="黑体"/>
          <w:szCs w:val="32"/>
        </w:rPr>
      </w:pPr>
      <w:r>
        <w:rPr>
          <w:rFonts w:hint="eastAsia" w:eastAsia="黑体"/>
        </w:rPr>
        <w:t xml:space="preserve"> </w:t>
      </w:r>
      <w:r>
        <w:rPr>
          <w:rFonts w:hint="eastAsia" w:ascii="黑体" w:hAnsi="黑体" w:eastAsia="黑体"/>
          <w:szCs w:val="32"/>
        </w:rPr>
        <w:t>五、运动员资格与审查</w:t>
      </w:r>
    </w:p>
    <w:p>
      <w:pPr>
        <w:keepNext w:val="0"/>
        <w:keepLines w:val="0"/>
        <w:pageBreakBefore w:val="0"/>
        <w:kinsoku/>
        <w:wordWrap/>
        <w:overflowPunct/>
        <w:topLinePunct w:val="0"/>
        <w:bidi w:val="0"/>
        <w:snapToGrid/>
        <w:spacing w:line="560" w:lineRule="exact"/>
        <w:ind w:firstLine="632"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rPr>
        <w:t>（一）运动员资格</w:t>
      </w:r>
    </w:p>
    <w:p>
      <w:pPr>
        <w:keepNext w:val="0"/>
        <w:keepLines w:val="0"/>
        <w:pageBreakBefore w:val="0"/>
        <w:kinsoku/>
        <w:wordWrap/>
        <w:overflowPunct/>
        <w:topLinePunct w:val="0"/>
        <w:bidi w:val="0"/>
        <w:snapToGrid/>
        <w:spacing w:line="560" w:lineRule="exact"/>
        <w:ind w:firstLine="632" w:firstLineChars="200"/>
        <w:textAlignment w:val="auto"/>
        <w:rPr>
          <w:rFonts w:hint="eastAsia"/>
          <w:szCs w:val="32"/>
        </w:rPr>
      </w:pPr>
      <w:r>
        <w:rPr>
          <w:rFonts w:hint="eastAsia"/>
          <w:szCs w:val="32"/>
        </w:rPr>
        <w:t>1.2025年12月31日前取得海南省正式户籍或学籍。</w:t>
      </w:r>
    </w:p>
    <w:p>
      <w:pPr>
        <w:keepNext w:val="0"/>
        <w:keepLines w:val="0"/>
        <w:pageBreakBefore w:val="0"/>
        <w:kinsoku/>
        <w:wordWrap/>
        <w:overflowPunct/>
        <w:topLinePunct w:val="0"/>
        <w:bidi w:val="0"/>
        <w:snapToGrid/>
        <w:spacing w:line="560" w:lineRule="exact"/>
        <w:ind w:firstLine="632" w:firstLineChars="200"/>
        <w:textAlignment w:val="auto"/>
        <w:rPr>
          <w:rFonts w:hint="eastAsia"/>
          <w:szCs w:val="32"/>
        </w:rPr>
      </w:pPr>
      <w:r>
        <w:rPr>
          <w:rFonts w:hint="eastAsia"/>
          <w:szCs w:val="32"/>
          <w:lang w:val="en-US" w:eastAsia="zh-CN"/>
        </w:rPr>
        <w:t>2.</w:t>
      </w:r>
      <w:r>
        <w:rPr>
          <w:rFonts w:hint="eastAsia"/>
          <w:szCs w:val="32"/>
        </w:rPr>
        <w:t>须符合《海南省运动员注册与交流管理办法（试行）》（琼旅文办</w:t>
      </w:r>
      <w:r>
        <w:rPr>
          <w:rFonts w:hint="eastAsia"/>
          <w:szCs w:val="32"/>
          <w:lang w:eastAsia="zh-CN"/>
        </w:rPr>
        <w:t>函</w:t>
      </w:r>
      <w:r>
        <w:rPr>
          <w:rFonts w:hint="eastAsia"/>
          <w:szCs w:val="32"/>
        </w:rPr>
        <w:t>〔2025〕341号）等有关规定，并于2025年12月1日至2026年1月31日在省旅游和文化广电体育厅（省旅文厅）办理注册。</w:t>
      </w:r>
    </w:p>
    <w:p>
      <w:pPr>
        <w:keepNext w:val="0"/>
        <w:keepLines w:val="0"/>
        <w:pageBreakBefore w:val="0"/>
        <w:kinsoku/>
        <w:wordWrap/>
        <w:overflowPunct/>
        <w:topLinePunct w:val="0"/>
        <w:bidi w:val="0"/>
        <w:snapToGrid/>
        <w:spacing w:line="560" w:lineRule="exact"/>
        <w:ind w:firstLine="632" w:firstLineChars="200"/>
        <w:textAlignment w:val="auto"/>
        <w:rPr>
          <w:rFonts w:hint="eastAsia"/>
          <w:szCs w:val="32"/>
        </w:rPr>
      </w:pPr>
      <w:r>
        <w:rPr>
          <w:rFonts w:hint="eastAsia"/>
          <w:szCs w:val="32"/>
          <w:lang w:val="en-US" w:eastAsia="zh-CN"/>
        </w:rPr>
        <w:t>3</w:t>
      </w:r>
      <w:r>
        <w:rPr>
          <w:rFonts w:hint="eastAsia"/>
          <w:szCs w:val="32"/>
        </w:rPr>
        <w:t>.经县级（含）以上医务部门检查证明身体健康，并出具健康证明。</w:t>
      </w:r>
    </w:p>
    <w:p>
      <w:pPr>
        <w:keepNext w:val="0"/>
        <w:keepLines w:val="0"/>
        <w:pageBreakBefore w:val="0"/>
        <w:kinsoku/>
        <w:wordWrap/>
        <w:overflowPunct/>
        <w:topLinePunct w:val="0"/>
        <w:bidi w:val="0"/>
        <w:snapToGrid/>
        <w:spacing w:line="560" w:lineRule="exact"/>
        <w:ind w:firstLine="632" w:firstLineChars="200"/>
        <w:textAlignment w:val="auto"/>
        <w:rPr>
          <w:rFonts w:hint="eastAsia"/>
          <w:szCs w:val="32"/>
        </w:rPr>
      </w:pPr>
      <w:r>
        <w:rPr>
          <w:rFonts w:hint="eastAsia"/>
          <w:szCs w:val="32"/>
          <w:lang w:val="en-US" w:eastAsia="zh-CN"/>
        </w:rPr>
        <w:t>4</w:t>
      </w:r>
      <w:r>
        <w:rPr>
          <w:rFonts w:hint="eastAsia"/>
          <w:szCs w:val="32"/>
        </w:rPr>
        <w:t>.各市、县输送到我省优秀运动队并在国家体育总局注册的在编运动员代表原输送市、县参加比赛</w:t>
      </w:r>
      <w:r>
        <w:rPr>
          <w:rFonts w:hint="eastAsia"/>
          <w:color w:val="auto"/>
          <w:szCs w:val="32"/>
        </w:rPr>
        <w:t>;经原输送市、县同意,办理交流协议,报省旅文厅批准可代表其它市、县和行业</w:t>
      </w:r>
      <w:r>
        <w:rPr>
          <w:rFonts w:hint="eastAsia"/>
          <w:color w:val="auto"/>
          <w:szCs w:val="32"/>
          <w:lang w:eastAsia="zh-CN"/>
        </w:rPr>
        <w:t>体协</w:t>
      </w:r>
      <w:r>
        <w:rPr>
          <w:rFonts w:hint="eastAsia"/>
          <w:color w:val="auto"/>
          <w:szCs w:val="32"/>
        </w:rPr>
        <w:t>参赛;</w:t>
      </w:r>
      <w:r>
        <w:rPr>
          <w:rFonts w:hint="eastAsia"/>
          <w:szCs w:val="32"/>
        </w:rPr>
        <w:t>海南体育职业技术学院优秀运动队从外省引进的在国家体育总局注册代表我省参加全国比赛且在协议期内的运动员代表资格由各市、县、行业体协与运动员所在训练单位协商决定,报省旅文厅备案，同意后方可参赛。</w:t>
      </w:r>
    </w:p>
    <w:p>
      <w:pPr>
        <w:keepNext w:val="0"/>
        <w:keepLines w:val="0"/>
        <w:pageBreakBefore w:val="0"/>
        <w:kinsoku/>
        <w:wordWrap/>
        <w:overflowPunct/>
        <w:topLinePunct w:val="0"/>
        <w:bidi w:val="0"/>
        <w:snapToGrid/>
        <w:spacing w:line="560" w:lineRule="exact"/>
        <w:ind w:firstLine="632" w:firstLineChars="200"/>
        <w:textAlignment w:val="auto"/>
        <w:rPr>
          <w:szCs w:val="32"/>
        </w:rPr>
      </w:pPr>
      <w:r>
        <w:rPr>
          <w:rFonts w:hint="eastAsia"/>
          <w:szCs w:val="32"/>
          <w:lang w:val="en-US" w:eastAsia="zh-CN"/>
        </w:rPr>
        <w:t>5</w:t>
      </w:r>
      <w:r>
        <w:rPr>
          <w:rFonts w:hint="eastAsia"/>
          <w:szCs w:val="32"/>
        </w:rPr>
        <w:t>.未经省旅文厅同意输送到其他省、区、市的海南籍运动员不能参赛。</w:t>
      </w:r>
    </w:p>
    <w:p>
      <w:pPr>
        <w:keepNext w:val="0"/>
        <w:keepLines w:val="0"/>
        <w:pageBreakBefore w:val="0"/>
        <w:kinsoku/>
        <w:wordWrap/>
        <w:overflowPunct/>
        <w:topLinePunct w:val="0"/>
        <w:bidi w:val="0"/>
        <w:snapToGrid/>
        <w:spacing w:line="560" w:lineRule="exact"/>
        <w:ind w:firstLine="632" w:firstLineChars="200"/>
        <w:textAlignment w:val="auto"/>
        <w:rPr>
          <w:rFonts w:hint="eastAsia"/>
          <w:szCs w:val="32"/>
        </w:rPr>
      </w:pPr>
      <w:r>
        <w:rPr>
          <w:rFonts w:hint="eastAsia"/>
          <w:szCs w:val="32"/>
          <w:lang w:val="en-US" w:eastAsia="zh-CN"/>
        </w:rPr>
        <w:t>6</w:t>
      </w:r>
      <w:r>
        <w:rPr>
          <w:szCs w:val="32"/>
        </w:rPr>
        <w:t>.</w:t>
      </w:r>
      <w:r>
        <w:rPr>
          <w:rFonts w:hint="eastAsia"/>
          <w:szCs w:val="32"/>
        </w:rPr>
        <w:t>须符合相关疾病防控政策及要求。</w:t>
      </w:r>
    </w:p>
    <w:p>
      <w:pPr>
        <w:keepNext w:val="0"/>
        <w:keepLines w:val="0"/>
        <w:pageBreakBefore w:val="0"/>
        <w:kinsoku/>
        <w:wordWrap/>
        <w:overflowPunct/>
        <w:topLinePunct w:val="0"/>
        <w:bidi w:val="0"/>
        <w:snapToGrid/>
        <w:spacing w:line="560" w:lineRule="exact"/>
        <w:ind w:firstLine="632" w:firstLineChars="200"/>
        <w:textAlignment w:val="auto"/>
        <w:rPr>
          <w:rFonts w:hint="eastAsia"/>
          <w:szCs w:val="32"/>
        </w:rPr>
      </w:pPr>
      <w:r>
        <w:rPr>
          <w:rFonts w:hint="eastAsia"/>
          <w:szCs w:val="32"/>
          <w:lang w:val="en-US" w:eastAsia="zh-CN"/>
        </w:rPr>
        <w:t>7</w:t>
      </w:r>
      <w:r>
        <w:rPr>
          <w:rFonts w:hint="eastAsia"/>
          <w:szCs w:val="32"/>
        </w:rPr>
        <w:t>.须由参赛单位在所在地为运动员购买参赛期间的人身意外伤害保险，并向大会交验保险原始凭证。</w:t>
      </w:r>
    </w:p>
    <w:p>
      <w:pPr>
        <w:keepNext w:val="0"/>
        <w:keepLines w:val="0"/>
        <w:pageBreakBefore w:val="0"/>
        <w:kinsoku/>
        <w:wordWrap/>
        <w:overflowPunct/>
        <w:topLinePunct w:val="0"/>
        <w:bidi w:val="0"/>
        <w:snapToGrid/>
        <w:spacing w:line="560" w:lineRule="exact"/>
        <w:ind w:firstLine="632"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rPr>
        <w:t>（二）资格审查</w:t>
      </w:r>
    </w:p>
    <w:p>
      <w:pPr>
        <w:keepNext w:val="0"/>
        <w:keepLines w:val="0"/>
        <w:pageBreakBefore w:val="0"/>
        <w:kinsoku/>
        <w:wordWrap/>
        <w:overflowPunct/>
        <w:topLinePunct w:val="0"/>
        <w:bidi w:val="0"/>
        <w:snapToGrid/>
        <w:spacing w:line="560" w:lineRule="exact"/>
        <w:ind w:firstLine="632" w:firstLineChars="200"/>
        <w:textAlignment w:val="auto"/>
        <w:rPr>
          <w:szCs w:val="32"/>
        </w:rPr>
      </w:pPr>
      <w:r>
        <w:rPr>
          <w:rFonts w:hint="eastAsia"/>
          <w:szCs w:val="32"/>
        </w:rPr>
        <w:t>1.省旅文厅将依据有关规定对运动员参赛资格进行审查，并采取公示等程序接受各参赛单位监督。各参赛单位可利用自查、互查和举报等形式，对运动员参赛资格进行审核与监督。</w:t>
      </w:r>
    </w:p>
    <w:p>
      <w:pPr>
        <w:keepNext w:val="0"/>
        <w:keepLines w:val="0"/>
        <w:pageBreakBefore w:val="0"/>
        <w:kinsoku/>
        <w:wordWrap/>
        <w:overflowPunct/>
        <w:topLinePunct w:val="0"/>
        <w:bidi w:val="0"/>
        <w:snapToGrid/>
        <w:spacing w:line="560" w:lineRule="exact"/>
        <w:ind w:firstLine="632" w:firstLineChars="200"/>
        <w:textAlignment w:val="auto"/>
        <w:rPr>
          <w:rFonts w:hint="eastAsia"/>
          <w:szCs w:val="32"/>
        </w:rPr>
      </w:pPr>
      <w:r>
        <w:rPr>
          <w:rFonts w:hint="eastAsia"/>
          <w:szCs w:val="32"/>
        </w:rPr>
        <w:t>2.运动员在参赛资格问题上经查确实违反规定的，参加单人项目则取消其本人的参赛资格和比赛成绩；参加两人或两人以上项目则取消其所在队伍相关组别的参赛资格和比赛成绩。此外，还将根据参赛代表团赛风赛纪和反兴奋剂工作责任书及其它有关规定对相关责任人员和单位进行处罚。凡运动员（队）被取消参赛资格和比赛成绩的，已完成的比赛结果不再改变，其被取消的名次依次递补。</w:t>
      </w:r>
    </w:p>
    <w:p>
      <w:pPr>
        <w:keepNext w:val="0"/>
        <w:keepLines w:val="0"/>
        <w:pageBreakBefore w:val="0"/>
        <w:kinsoku/>
        <w:wordWrap/>
        <w:overflowPunct/>
        <w:topLinePunct w:val="0"/>
        <w:bidi w:val="0"/>
        <w:snapToGrid/>
        <w:spacing w:line="560" w:lineRule="exact"/>
        <w:ind w:firstLine="632" w:firstLineChars="200"/>
        <w:textAlignment w:val="auto"/>
        <w:rPr>
          <w:rFonts w:hint="eastAsia" w:ascii="黑体" w:hAnsi="黑体" w:eastAsia="黑体"/>
          <w:bCs/>
          <w:color w:val="000000"/>
        </w:rPr>
      </w:pPr>
      <w:r>
        <w:rPr>
          <w:rFonts w:hint="eastAsia" w:ascii="黑体" w:hAnsi="黑体" w:eastAsia="黑体"/>
          <w:bCs/>
          <w:color w:val="000000"/>
        </w:rPr>
        <w:t>六、竞赛办法</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（一）执行中国乒乓球协会最新审定的《乒乓球竞赛规则》2022年版及国际乒联最新相关规定。</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（二）所有比赛均采用五局三胜，每局11分制。所有比赛均分两个阶段进行，第一阶段分组循环赛，第二阶段交叉淘汰赛及附加赛决出录取名次。</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（三）团体比赛均采用五场三胜制（斯韦思林杯赛制，5场单打）,每队必须由3名运动员上场比赛，比赛顺序是：1.A-X,2.B-Y，3.C-Z，4.A-Y，5.B-X。</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（四）甲组、乙组团体比赛上场的3名运动员中必须有1名运动员为直拍或削球打法，且在单项比赛中必须保持一致（运动员的</w:t>
      </w:r>
      <w:r>
        <w:rPr>
          <w:rFonts w:hint="eastAsia" w:ascii="仿宋_GB2312" w:hAnsi="仿宋_GB2312" w:eastAsia="仿宋_GB2312" w:cs="仿宋_GB2312"/>
          <w:color w:val="000000"/>
          <w:szCs w:val="28"/>
        </w:rPr>
        <w:t>打法以报名为准，不得随意更改</w:t>
      </w:r>
      <w:r>
        <w:rPr>
          <w:rFonts w:hint="eastAsia" w:ascii="仿宋_GB2312" w:hAnsi="仿宋_GB2312" w:eastAsia="仿宋_GB2312" w:cs="仿宋_GB2312"/>
          <w:color w:val="000000"/>
        </w:rPr>
        <w:t>）。</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（五）参加团体比赛的运动员可以参加单项比赛；参加单打比赛的运动员可以兼项参加双打、混双其中1项比赛；参加双打比赛的运动员不允许参加混双比赛；参加双打、混双比赛的运动员须为同队、同组配对。</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（六）比赛使用（ITTF认证）银河牌钜力H40+紫三星+WTT红标精选球（双标）。</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（七）各单位在报名时，按技术排列顺序（由高至低），曾获全国、省比赛优异者在备注栏内注明，以便抽签编排。</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（八）各项目报名以及赛前技术会议上确认报名不足4队（人、对），则</w:t>
      </w:r>
      <w:r>
        <w:rPr>
          <w:rFonts w:hint="eastAsia" w:ascii="仿宋_GB2312" w:hAnsi="仿宋_GB2312" w:eastAsia="仿宋_GB2312" w:cs="仿宋_GB2312"/>
          <w:color w:val="000000"/>
          <w:lang w:eastAsia="zh-CN"/>
        </w:rPr>
        <w:t>向高一年龄组</w:t>
      </w:r>
      <w:r>
        <w:rPr>
          <w:rFonts w:hint="eastAsia" w:ascii="仿宋_GB2312" w:hAnsi="仿宋_GB2312" w:eastAsia="仿宋_GB2312" w:cs="仿宋_GB2312"/>
          <w:color w:val="000000"/>
        </w:rPr>
        <w:t>合并组别或取消该项目比赛。</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（九）赛前检录时，运动员必须出示居民身份证参加比赛。</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（十）</w:t>
      </w:r>
      <w:r>
        <w:rPr>
          <w:rFonts w:hint="eastAsia" w:ascii="仿宋_GB2312" w:hAnsi="仿宋_GB2312" w:eastAsia="仿宋_GB2312" w:cs="仿宋_GB2312"/>
          <w:color w:val="000000"/>
          <w:szCs w:val="32"/>
        </w:rPr>
        <w:t>本次比赛进行球拍平整度和厚度检测。</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（十一）</w:t>
      </w:r>
      <w:r>
        <w:rPr>
          <w:rFonts w:hint="eastAsia" w:ascii="仿宋_GB2312" w:hAnsi="仿宋_GB2312" w:eastAsia="仿宋_GB2312" w:cs="仿宋_GB2312"/>
          <w:color w:val="000000"/>
          <w:szCs w:val="32"/>
        </w:rPr>
        <w:t>运动员已报项目不得无故弃权。确实因伤、病不能参赛者，必须由参赛队提供书面申请及相关医院检查证明，并经大会医生检查确认，交组委会审核同意。</w:t>
      </w:r>
      <w:r>
        <w:rPr>
          <w:rFonts w:hint="eastAsia" w:ascii="仿宋_GB2312" w:hAnsi="仿宋_GB2312" w:eastAsia="仿宋_GB2312" w:cs="仿宋_GB2312"/>
          <w:color w:val="000000"/>
        </w:rPr>
        <w:t>比赛过程中运动员因伤、病等原因弃权，则该运动员后面所有的比赛当弃权处理。运动员若无故弃权，则取消其所在队伍体育道德风尚奖参评资格。</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（十二）比赛服装要求</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1.运动员须按规则要求着装，上场比赛服装应整洁；团体、双打比赛时，同队运动员服装应一致。</w:t>
      </w:r>
    </w:p>
    <w:p>
      <w:pPr>
        <w:keepNext w:val="0"/>
        <w:keepLines w:val="0"/>
        <w:pageBreakBefore w:val="0"/>
        <w:kinsoku/>
        <w:wordWrap/>
        <w:overflowPunct/>
        <w:topLinePunct w:val="0"/>
        <w:bidi w:val="0"/>
        <w:snapToGrid/>
        <w:spacing w:line="560" w:lineRule="exact"/>
        <w:ind w:firstLine="632" w:firstLineChars="200"/>
        <w:textAlignment w:val="auto"/>
        <w:rPr>
          <w:rFonts w:hint="eastAsia"/>
          <w:color w:val="000000"/>
        </w:rPr>
      </w:pPr>
      <w:r>
        <w:rPr>
          <w:rFonts w:hint="eastAsia" w:ascii="仿宋_GB2312" w:hAnsi="仿宋_GB2312" w:eastAsia="仿宋_GB2312" w:cs="仿宋_GB2312"/>
          <w:color w:val="000000"/>
        </w:rPr>
        <w:t>2.运动员每场比赛应至少备有两</w:t>
      </w:r>
      <w:r>
        <w:rPr>
          <w:rFonts w:hint="eastAsia"/>
          <w:color w:val="000000"/>
        </w:rPr>
        <w:t>种不同色系的比赛服装（不得与比赛用球的颜色（白色）相近）。</w:t>
      </w:r>
    </w:p>
    <w:p>
      <w:pPr>
        <w:keepNext w:val="0"/>
        <w:keepLines w:val="0"/>
        <w:pageBreakBefore w:val="0"/>
        <w:kinsoku/>
        <w:wordWrap/>
        <w:overflowPunct/>
        <w:topLinePunct w:val="0"/>
        <w:bidi w:val="0"/>
        <w:snapToGrid/>
        <w:spacing w:line="560" w:lineRule="exact"/>
        <w:ind w:firstLine="632" w:firstLineChars="200"/>
        <w:textAlignment w:val="auto"/>
        <w:rPr>
          <w:rFonts w:hint="eastAsia"/>
          <w:color w:val="000000"/>
        </w:rPr>
      </w:pPr>
      <w:r>
        <w:rPr>
          <w:rFonts w:hint="eastAsia"/>
          <w:color w:val="000000"/>
        </w:rPr>
        <w:t>3.比赛服装上不得有烟和酒类广告，并须符合中国乒乓球协会最新审定的《乒乓球竞赛规则》有关规定。</w:t>
      </w:r>
    </w:p>
    <w:p>
      <w:pPr>
        <w:keepNext w:val="0"/>
        <w:keepLines w:val="0"/>
        <w:pageBreakBefore w:val="0"/>
        <w:kinsoku/>
        <w:wordWrap/>
        <w:overflowPunct/>
        <w:topLinePunct w:val="0"/>
        <w:bidi w:val="0"/>
        <w:snapToGrid/>
        <w:spacing w:line="560" w:lineRule="exact"/>
        <w:ind w:firstLine="632" w:firstLineChars="200"/>
        <w:textAlignment w:val="auto"/>
        <w:rPr>
          <w:rFonts w:hint="eastAsia" w:ascii="黑体" w:hAnsi="黑体" w:eastAsia="黑体"/>
          <w:color w:val="000000"/>
        </w:rPr>
      </w:pPr>
      <w:r>
        <w:rPr>
          <w:rFonts w:hint="eastAsia" w:ascii="黑体" w:hAnsi="黑体" w:eastAsia="黑体"/>
          <w:color w:val="000000"/>
        </w:rPr>
        <w:t>七、奖励与计分办法</w:t>
      </w:r>
    </w:p>
    <w:p>
      <w:pPr>
        <w:keepNext w:val="0"/>
        <w:keepLines w:val="0"/>
        <w:pageBreakBefore w:val="0"/>
        <w:kinsoku/>
        <w:wordWrap/>
        <w:overflowPunct/>
        <w:topLinePunct w:val="0"/>
        <w:bidi w:val="0"/>
        <w:snapToGrid/>
        <w:spacing w:line="560" w:lineRule="exact"/>
        <w:ind w:firstLine="632" w:firstLineChars="200"/>
        <w:textAlignment w:val="auto"/>
        <w:rPr>
          <w:rFonts w:hint="eastAsia" w:ascii="楷体_GB2312" w:hAnsi="楷体_GB2312" w:eastAsia="楷体_GB2312"/>
          <w:color w:val="000000"/>
        </w:rPr>
      </w:pPr>
      <w:r>
        <w:rPr>
          <w:rFonts w:hint="eastAsia" w:ascii="楷体_GB2312" w:hAnsi="楷体_GB2312" w:eastAsia="楷体_GB2312"/>
          <w:color w:val="000000"/>
        </w:rPr>
        <w:t>（一）奖励</w:t>
      </w:r>
    </w:p>
    <w:p>
      <w:pPr>
        <w:keepNext w:val="0"/>
        <w:keepLines w:val="0"/>
        <w:pageBreakBefore w:val="0"/>
        <w:kinsoku/>
        <w:wordWrap/>
        <w:overflowPunct/>
        <w:topLinePunct w:val="0"/>
        <w:bidi w:val="0"/>
        <w:snapToGrid/>
        <w:spacing w:line="560" w:lineRule="exact"/>
        <w:ind w:firstLine="632" w:firstLineChars="200"/>
        <w:textAlignment w:val="auto"/>
        <w:rPr>
          <w:rFonts w:hint="eastAsia"/>
          <w:color w:val="000000"/>
          <w:szCs w:val="32"/>
        </w:rPr>
      </w:pPr>
      <w:r>
        <w:rPr>
          <w:rFonts w:hint="eastAsia"/>
          <w:color w:val="000000"/>
          <w:szCs w:val="32"/>
        </w:rPr>
        <w:t>1.各项目比赛录取前八名，第一至三名颁发奖牌及证书，第四至八名颁发证书。参赛队（人）8个（含）以下的，按参赛队（人）减2录取奖励。</w:t>
      </w:r>
    </w:p>
    <w:p>
      <w:pPr>
        <w:keepNext w:val="0"/>
        <w:keepLines w:val="0"/>
        <w:pageBreakBefore w:val="0"/>
        <w:kinsoku/>
        <w:wordWrap/>
        <w:overflowPunct/>
        <w:topLinePunct w:val="0"/>
        <w:bidi w:val="0"/>
        <w:snapToGrid/>
        <w:spacing w:line="560" w:lineRule="exact"/>
        <w:ind w:firstLine="632" w:firstLineChars="200"/>
        <w:textAlignment w:val="auto"/>
        <w:rPr>
          <w:rFonts w:hint="eastAsia"/>
          <w:color w:val="000000"/>
          <w:szCs w:val="32"/>
        </w:rPr>
      </w:pPr>
      <w:r>
        <w:rPr>
          <w:rFonts w:hint="eastAsia"/>
          <w:color w:val="000000"/>
          <w:szCs w:val="32"/>
        </w:rPr>
        <w:t>2.设体育道德风尚奖。按《海南省第六届运动会体育道德风尚奖评选办法》执行。</w:t>
      </w:r>
    </w:p>
    <w:p>
      <w:pPr>
        <w:keepNext w:val="0"/>
        <w:keepLines w:val="0"/>
        <w:pageBreakBefore w:val="0"/>
        <w:kinsoku/>
        <w:wordWrap/>
        <w:overflowPunct/>
        <w:topLinePunct w:val="0"/>
        <w:bidi w:val="0"/>
        <w:snapToGrid/>
        <w:spacing w:line="560" w:lineRule="exact"/>
        <w:ind w:firstLine="632" w:firstLineChars="200"/>
        <w:textAlignment w:val="auto"/>
        <w:rPr>
          <w:color w:val="000000"/>
          <w:szCs w:val="32"/>
        </w:rPr>
      </w:pPr>
      <w:r>
        <w:rPr>
          <w:rFonts w:hint="eastAsia"/>
          <w:color w:val="000000"/>
          <w:szCs w:val="32"/>
        </w:rPr>
        <w:t>3.根据体育总局最新颁布的《运动员技术等级标准》有关规定，参加本次比赛的</w:t>
      </w:r>
      <w:r>
        <w:rPr>
          <w:rFonts w:hint="eastAsia"/>
          <w:szCs w:val="32"/>
        </w:rPr>
        <w:t>甲组</w:t>
      </w:r>
      <w:r>
        <w:rPr>
          <w:rFonts w:hint="eastAsia"/>
          <w:color w:val="000000"/>
          <w:szCs w:val="32"/>
        </w:rPr>
        <w:t>运动员所取得成绩，可按照《乒乓球运动员技术等级标准》申请相应技术等级。</w:t>
      </w:r>
    </w:p>
    <w:p>
      <w:pPr>
        <w:keepNext w:val="0"/>
        <w:keepLines w:val="0"/>
        <w:pageBreakBefore w:val="0"/>
        <w:kinsoku/>
        <w:wordWrap/>
        <w:overflowPunct/>
        <w:topLinePunct w:val="0"/>
        <w:bidi w:val="0"/>
        <w:snapToGrid/>
        <w:spacing w:line="560" w:lineRule="exact"/>
        <w:ind w:firstLine="632" w:firstLineChars="200"/>
        <w:textAlignment w:val="auto"/>
        <w:rPr>
          <w:rFonts w:hint="eastAsia" w:ascii="楷体_GB2312" w:hAnsi="楷体_GB2312" w:eastAsia="楷体_GB2312"/>
          <w:color w:val="000000"/>
          <w:szCs w:val="32"/>
        </w:rPr>
      </w:pPr>
      <w:r>
        <w:rPr>
          <w:rFonts w:hint="eastAsia" w:ascii="楷体_GB2312" w:hAnsi="楷体_GB2312" w:eastAsia="楷体_GB2312"/>
          <w:color w:val="000000"/>
          <w:szCs w:val="32"/>
        </w:rPr>
        <w:t>（二）计牌计分</w:t>
      </w:r>
    </w:p>
    <w:p>
      <w:pPr>
        <w:keepNext w:val="0"/>
        <w:keepLines w:val="0"/>
        <w:pageBreakBefore w:val="0"/>
        <w:kinsoku/>
        <w:wordWrap/>
        <w:overflowPunct/>
        <w:topLinePunct w:val="0"/>
        <w:bidi w:val="0"/>
        <w:snapToGrid/>
        <w:spacing w:line="560" w:lineRule="exact"/>
        <w:ind w:firstLine="632" w:firstLineChars="200"/>
        <w:textAlignment w:val="auto"/>
        <w:rPr>
          <w:rFonts w:hint="eastAsia"/>
          <w:color w:val="000000"/>
          <w:szCs w:val="32"/>
        </w:rPr>
      </w:pPr>
      <w:r>
        <w:rPr>
          <w:rFonts w:hint="eastAsia"/>
          <w:color w:val="000000"/>
          <w:szCs w:val="32"/>
        </w:rPr>
        <w:t>执行《海南省第七届运动会竞赛规程总则》有关规定。</w:t>
      </w:r>
    </w:p>
    <w:p>
      <w:pPr>
        <w:keepNext w:val="0"/>
        <w:keepLines w:val="0"/>
        <w:pageBreakBefore w:val="0"/>
        <w:kinsoku/>
        <w:wordWrap/>
        <w:overflowPunct/>
        <w:topLinePunct w:val="0"/>
        <w:bidi w:val="0"/>
        <w:snapToGrid/>
        <w:spacing w:line="560" w:lineRule="exact"/>
        <w:ind w:firstLine="632" w:firstLineChars="200"/>
        <w:textAlignment w:val="auto"/>
        <w:rPr>
          <w:rFonts w:hint="eastAsia" w:ascii="黑体" w:hAnsi="黑体" w:eastAsia="黑体"/>
          <w:szCs w:val="32"/>
        </w:rPr>
      </w:pPr>
      <w:r>
        <w:rPr>
          <w:rFonts w:hint="eastAsia" w:ascii="黑体" w:hAnsi="黑体" w:eastAsia="黑体" w:cs="黑体"/>
          <w:szCs w:val="32"/>
        </w:rPr>
        <w:t>八、</w:t>
      </w:r>
      <w:r>
        <w:rPr>
          <w:rFonts w:hint="eastAsia" w:ascii="黑体" w:hAnsi="黑体" w:eastAsia="黑体"/>
          <w:szCs w:val="32"/>
        </w:rPr>
        <w:t>兴奋剂和性别检查</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（一）实行兴奋剂抽查，检查和处罚按照国家体育总局、中国奥委会反兴奋剂委员会的有关规定执行。</w:t>
      </w:r>
    </w:p>
    <w:p>
      <w:pPr>
        <w:keepNext w:val="0"/>
        <w:keepLines w:val="0"/>
        <w:pageBreakBefore w:val="0"/>
        <w:kinsoku/>
        <w:wordWrap/>
        <w:overflowPunct/>
        <w:topLinePunct w:val="0"/>
        <w:bidi w:val="0"/>
        <w:snapToGrid/>
        <w:spacing w:line="560" w:lineRule="exact"/>
        <w:ind w:firstLine="632" w:firstLineChars="200"/>
        <w:textAlignment w:val="auto"/>
        <w:rPr>
          <w:rFonts w:hint="eastAsia"/>
          <w:color w:val="000000"/>
          <w:szCs w:val="32"/>
        </w:rPr>
      </w:pPr>
      <w:r>
        <w:rPr>
          <w:rFonts w:hint="eastAsia" w:ascii="仿宋_GB2312" w:hAnsi="仿宋_GB2312" w:eastAsia="仿宋_GB2312" w:cs="仿宋_GB2312"/>
          <w:color w:val="000000"/>
          <w:szCs w:val="32"/>
        </w:rPr>
        <w:t>（二）性</w:t>
      </w:r>
      <w:r>
        <w:rPr>
          <w:rFonts w:hint="eastAsia"/>
          <w:color w:val="000000"/>
          <w:szCs w:val="32"/>
        </w:rPr>
        <w:t>别检查将根据国际组织有关规定，按照必需和必要的原则进行。</w:t>
      </w:r>
    </w:p>
    <w:p>
      <w:pPr>
        <w:keepNext w:val="0"/>
        <w:keepLines w:val="0"/>
        <w:pageBreakBefore w:val="0"/>
        <w:kinsoku/>
        <w:wordWrap/>
        <w:overflowPunct/>
        <w:topLinePunct w:val="0"/>
        <w:bidi w:val="0"/>
        <w:snapToGrid/>
        <w:spacing w:line="560" w:lineRule="exact"/>
        <w:ind w:firstLine="632" w:firstLineChars="200"/>
        <w:textAlignment w:val="auto"/>
        <w:rPr>
          <w:rFonts w:hint="eastAsia" w:ascii="黑体" w:hAnsi="黑体" w:eastAsia="黑体"/>
          <w:bCs/>
          <w:color w:val="000000"/>
        </w:rPr>
      </w:pPr>
      <w:r>
        <w:rPr>
          <w:rFonts w:hint="eastAsia" w:ascii="黑体" w:hAnsi="黑体" w:eastAsia="黑体"/>
          <w:bCs/>
          <w:color w:val="000000"/>
        </w:rPr>
        <w:t>九、报名和报到</w:t>
      </w:r>
    </w:p>
    <w:p>
      <w:pPr>
        <w:keepNext w:val="0"/>
        <w:keepLines w:val="0"/>
        <w:pageBreakBefore w:val="0"/>
        <w:kinsoku/>
        <w:wordWrap/>
        <w:overflowPunct/>
        <w:topLinePunct w:val="0"/>
        <w:bidi w:val="0"/>
        <w:snapToGrid/>
        <w:spacing w:line="560" w:lineRule="exact"/>
        <w:ind w:firstLine="632" w:firstLineChars="200"/>
        <w:textAlignment w:val="auto"/>
        <w:rPr>
          <w:rFonts w:hint="eastAsia" w:ascii="楷体_GB2312" w:hAnsi="楷体_GB2312" w:eastAsia="楷体_GB2312" w:cs="Times New Roman"/>
          <w:color w:val="000000"/>
          <w:szCs w:val="32"/>
        </w:rPr>
      </w:pPr>
      <w:r>
        <w:rPr>
          <w:rFonts w:hint="eastAsia" w:ascii="楷体_GB2312" w:hAnsi="楷体_GB2312" w:eastAsia="楷体_GB2312" w:cs="Times New Roman"/>
          <w:color w:val="000000"/>
          <w:szCs w:val="32"/>
        </w:rPr>
        <w:t>（一）报名</w:t>
      </w:r>
    </w:p>
    <w:p>
      <w:pPr>
        <w:keepNext w:val="0"/>
        <w:keepLines w:val="0"/>
        <w:pageBreakBefore w:val="0"/>
        <w:kinsoku/>
        <w:wordWrap/>
        <w:overflowPunct/>
        <w:topLinePunct w:val="0"/>
        <w:bidi w:val="0"/>
        <w:snapToGrid/>
        <w:spacing w:line="560" w:lineRule="exact"/>
        <w:ind w:firstLine="632" w:firstLineChars="200"/>
        <w:textAlignment w:val="auto"/>
        <w:rPr>
          <w:rFonts w:hint="eastAsia" w:hAnsi="仿宋_GB2312"/>
          <w:color w:val="000000"/>
        </w:rPr>
      </w:pPr>
      <w:r>
        <w:rPr>
          <w:rFonts w:hint="eastAsia" w:ascii="仿宋_GB2312" w:hAnsi="仿宋_GB2312" w:eastAsia="仿宋_GB2312" w:cs="仿宋_GB2312"/>
          <w:color w:val="000000"/>
          <w:spacing w:val="-2"/>
          <w:sz w:val="32"/>
        </w:rPr>
        <w:t>参赛单位须于202</w:t>
      </w:r>
      <w:r>
        <w:rPr>
          <w:rFonts w:hint="eastAsia" w:ascii="仿宋_GB2312" w:hAnsi="仿宋_GB2312" w:eastAsia="仿宋_GB2312" w:cs="仿宋_GB2312"/>
          <w:color w:val="auto"/>
          <w:spacing w:val="-2"/>
          <w:sz w:val="32"/>
        </w:rPr>
        <w:t>6</w:t>
      </w:r>
      <w:r>
        <w:rPr>
          <w:rFonts w:hint="eastAsia" w:ascii="仿宋_GB2312" w:hAnsi="仿宋_GB2312" w:eastAsia="仿宋_GB2312" w:cs="仿宋_GB2312"/>
          <w:color w:val="000000"/>
          <w:spacing w:val="-2"/>
          <w:sz w:val="32"/>
        </w:rPr>
        <w:t>年</w:t>
      </w:r>
      <w:r>
        <w:rPr>
          <w:rFonts w:hint="eastAsia" w:ascii="仿宋_GB2312" w:hAnsi="仿宋_GB2312" w:eastAsia="仿宋_GB2312" w:cs="仿宋_GB2312"/>
          <w:color w:val="000000"/>
          <w:spacing w:val="-2"/>
          <w:sz w:val="32"/>
          <w:lang w:val="en-US" w:eastAsia="zh-CN"/>
        </w:rPr>
        <w:t xml:space="preserve">  </w:t>
      </w:r>
      <w:r>
        <w:rPr>
          <w:rFonts w:hint="eastAsia" w:ascii="仿宋_GB2312" w:hAnsi="仿宋_GB2312" w:eastAsia="仿宋_GB2312" w:cs="仿宋_GB2312"/>
          <w:color w:val="000000"/>
          <w:spacing w:val="-2"/>
          <w:sz w:val="32"/>
        </w:rPr>
        <w:t>月</w:t>
      </w:r>
      <w:r>
        <w:rPr>
          <w:rFonts w:hint="eastAsia" w:ascii="仿宋_GB2312" w:hAnsi="仿宋_GB2312" w:eastAsia="仿宋_GB2312" w:cs="仿宋_GB2312"/>
          <w:color w:val="000000"/>
          <w:spacing w:val="-2"/>
          <w:sz w:val="32"/>
          <w:lang w:val="en-US" w:eastAsia="zh-CN"/>
        </w:rPr>
        <w:t xml:space="preserve">  </w:t>
      </w:r>
      <w:r>
        <w:rPr>
          <w:rFonts w:hint="eastAsia" w:ascii="仿宋_GB2312" w:hAnsi="仿宋_GB2312" w:eastAsia="仿宋_GB2312" w:cs="仿宋_GB2312"/>
          <w:color w:val="000000"/>
          <w:spacing w:val="-2"/>
          <w:sz w:val="32"/>
        </w:rPr>
        <w:t>日前在省运会报名系统上（以补充通知为准）按相关要求报名</w:t>
      </w:r>
      <w:r>
        <w:rPr>
          <w:rFonts w:hint="eastAsia" w:ascii="仿宋_GB2312" w:hAnsi="仿宋_GB2312" w:eastAsia="仿宋_GB2312" w:cs="仿宋_GB2312"/>
          <w:color w:val="000000"/>
          <w:spacing w:val="-2"/>
          <w:sz w:val="32"/>
          <w:lang w:eastAsia="zh-CN"/>
        </w:rPr>
        <w:t>，</w:t>
      </w:r>
      <w:r>
        <w:rPr>
          <w:rFonts w:hint="eastAsia" w:hAnsi="仿宋_GB2312"/>
          <w:color w:val="000000"/>
        </w:rPr>
        <w:t>并须在报名期内将报名表打印一式二份，加盖单位公章后用EMS（中国邮政速递）分别寄到</w:t>
      </w:r>
      <w:r>
        <w:rPr>
          <w:rFonts w:hint="eastAsia" w:ascii="仿宋_GB2312" w:hAnsi="仿宋_GB2312" w:eastAsia="仿宋_GB2312" w:cs="仿宋_GB2312"/>
          <w:color w:val="000000"/>
          <w:spacing w:val="-2"/>
          <w:sz w:val="32"/>
        </w:rPr>
        <w:t>省旅文厅竞体处（联系人：</w:t>
      </w:r>
      <w:r>
        <w:rPr>
          <w:rFonts w:hint="eastAsia" w:ascii="仿宋_GB2312" w:hAnsi="仿宋_GB2312" w:eastAsia="仿宋_GB2312" w:cs="仿宋_GB2312"/>
          <w:color w:val="000000"/>
          <w:spacing w:val="-2"/>
          <w:sz w:val="32"/>
          <w:lang w:eastAsia="zh-CN"/>
        </w:rPr>
        <w:t>程思远</w:t>
      </w:r>
      <w:r>
        <w:rPr>
          <w:rFonts w:hint="eastAsia" w:ascii="仿宋_GB2312" w:hAnsi="仿宋_GB2312" w:eastAsia="仿宋_GB2312" w:cs="仿宋_GB2312"/>
          <w:color w:val="000000"/>
          <w:spacing w:val="-2"/>
          <w:sz w:val="32"/>
        </w:rPr>
        <w:t>，电话：65220291，海口市白龙南路43号，邮编：570204）和琼海市旅文局（联系人：符式兴，电话：13976328852，地址：琼海市南门二路5号）</w:t>
      </w:r>
      <w:r>
        <w:rPr>
          <w:rFonts w:hint="eastAsia" w:hAnsi="仿宋_GB2312"/>
          <w:color w:val="000000"/>
        </w:rPr>
        <w:t>。报名截止日后，系统将自动关闭，不再受理报名；逾期者或不提交纸质报名表者，视为报名未确认，不予安排比赛。</w:t>
      </w:r>
    </w:p>
    <w:p>
      <w:pPr>
        <w:keepNext w:val="0"/>
        <w:keepLines w:val="0"/>
        <w:pageBreakBefore w:val="0"/>
        <w:kinsoku/>
        <w:wordWrap/>
        <w:overflowPunct/>
        <w:topLinePunct w:val="0"/>
        <w:bidi w:val="0"/>
        <w:snapToGrid/>
        <w:spacing w:line="560" w:lineRule="exact"/>
        <w:ind w:firstLine="632" w:firstLineChars="200"/>
        <w:textAlignment w:val="auto"/>
        <w:rPr>
          <w:rFonts w:hint="eastAsia" w:ascii="楷体_GB2312" w:hAnsi="楷体_GB2312" w:eastAsia="楷体_GB2312"/>
          <w:color w:val="000000"/>
        </w:rPr>
      </w:pPr>
      <w:r>
        <w:rPr>
          <w:rFonts w:hint="eastAsia" w:ascii="楷体_GB2312" w:hAnsi="楷体_GB2312" w:eastAsia="楷体_GB2312"/>
          <w:color w:val="000000"/>
        </w:rPr>
        <w:t>（二）报到</w:t>
      </w:r>
    </w:p>
    <w:p>
      <w:pPr>
        <w:keepNext w:val="0"/>
        <w:keepLines w:val="0"/>
        <w:pageBreakBefore w:val="0"/>
        <w:kinsoku/>
        <w:wordWrap/>
        <w:overflowPunct/>
        <w:topLinePunct w:val="0"/>
        <w:bidi w:val="0"/>
        <w:snapToGrid/>
        <w:spacing w:line="560" w:lineRule="exact"/>
        <w:ind w:firstLine="632" w:firstLineChars="200"/>
        <w:textAlignment w:val="auto"/>
        <w:rPr>
          <w:rFonts w:hint="eastAsia" w:hAnsi="仿宋_GB2312"/>
          <w:color w:val="000000"/>
        </w:rPr>
      </w:pPr>
      <w:r>
        <w:rPr>
          <w:rFonts w:hint="eastAsia" w:hAnsi="仿宋_GB2312"/>
          <w:color w:val="000000"/>
        </w:rPr>
        <w:t>1.各参赛队须赛前2天到赛区报到</w:t>
      </w:r>
      <w:r>
        <w:rPr>
          <w:rFonts w:hint="eastAsia"/>
          <w:color w:val="000000"/>
        </w:rPr>
        <w:t>（具体时间地址</w:t>
      </w:r>
      <w:r>
        <w:rPr>
          <w:rFonts w:hint="eastAsia" w:hAnsi="仿宋_GB2312"/>
          <w:color w:val="000000"/>
        </w:rPr>
        <w:t>以补充通知为准</w:t>
      </w:r>
      <w:r>
        <w:rPr>
          <w:rFonts w:hint="eastAsia"/>
          <w:color w:val="000000"/>
        </w:rPr>
        <w:t>）</w:t>
      </w:r>
      <w:r>
        <w:rPr>
          <w:rFonts w:hint="eastAsia" w:hAnsi="仿宋_GB2312"/>
          <w:color w:val="000000"/>
        </w:rPr>
        <w:t>。报到时须交验注册证、医院健康证明、人身意外伤害保险单。资料不全或未按时报到者，不得参加比赛。</w:t>
      </w:r>
    </w:p>
    <w:p>
      <w:pPr>
        <w:keepNext w:val="0"/>
        <w:keepLines w:val="0"/>
        <w:pageBreakBefore w:val="0"/>
        <w:kinsoku/>
        <w:wordWrap/>
        <w:overflowPunct/>
        <w:topLinePunct w:val="0"/>
        <w:bidi w:val="0"/>
        <w:snapToGrid/>
        <w:spacing w:line="560" w:lineRule="exact"/>
        <w:ind w:firstLine="632" w:firstLineChars="200"/>
        <w:textAlignment w:val="auto"/>
        <w:rPr>
          <w:rFonts w:hint="eastAsia" w:hAnsi="仿宋_GB2312"/>
          <w:color w:val="000000"/>
        </w:rPr>
      </w:pPr>
      <w:r>
        <w:rPr>
          <w:rFonts w:hint="eastAsia" w:hAnsi="仿宋_GB2312"/>
          <w:color w:val="000000"/>
        </w:rPr>
        <w:t>2.裁判长、副裁判长、编排长于赛前3天到赛区报到，裁判员于赛前2天到赛区报到并携带裁判员等级证书、证章。</w:t>
      </w:r>
    </w:p>
    <w:p>
      <w:pPr>
        <w:keepNext w:val="0"/>
        <w:keepLines w:val="0"/>
        <w:pageBreakBefore w:val="0"/>
        <w:kinsoku/>
        <w:wordWrap/>
        <w:overflowPunct/>
        <w:topLinePunct w:val="0"/>
        <w:bidi w:val="0"/>
        <w:snapToGrid/>
        <w:spacing w:line="560" w:lineRule="exact"/>
        <w:ind w:firstLine="632" w:firstLineChars="200"/>
        <w:textAlignment w:val="auto"/>
        <w:rPr>
          <w:rFonts w:hint="eastAsia" w:ascii="黑体" w:hAnsi="黑体" w:eastAsia="黑体"/>
          <w:bCs/>
          <w:color w:val="000000"/>
        </w:rPr>
      </w:pPr>
      <w:r>
        <w:rPr>
          <w:rFonts w:hint="eastAsia" w:ascii="黑体" w:hAnsi="黑体" w:eastAsia="黑体"/>
          <w:bCs/>
          <w:color w:val="000000"/>
        </w:rPr>
        <w:t>十、相关经费</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（一）食宿由大会统一安排。各参赛队报到时，每人每天向大会交纳食宿费150元，不足部分由大会负责；参赛人员往返差旅费自理；超编人员费用自理（食宿标准以补充为准）。</w:t>
      </w:r>
    </w:p>
    <w:p>
      <w:pPr>
        <w:keepNext w:val="0"/>
        <w:keepLines w:val="0"/>
        <w:pageBreakBefore w:val="0"/>
        <w:kinsoku/>
        <w:wordWrap/>
        <w:overflowPunct/>
        <w:topLinePunct w:val="0"/>
        <w:bidi w:val="0"/>
        <w:snapToGrid/>
        <w:spacing w:line="560" w:lineRule="exact"/>
        <w:ind w:firstLine="632" w:firstLineChars="200"/>
        <w:textAlignment w:val="auto"/>
        <w:rPr>
          <w:rFonts w:hint="eastAsia" w:ascii="仿宋_GB2312" w:hAnsi="仿宋_GB2312" w:eastAsia="仿宋_GB2312" w:cs="仿宋_GB2312"/>
          <w:color w:val="000000"/>
        </w:rPr>
      </w:pPr>
      <w:r>
        <w:rPr>
          <w:rFonts w:hint="eastAsia" w:ascii="仿宋_GB2312" w:hAnsi="仿宋_GB2312" w:eastAsia="仿宋_GB2312" w:cs="仿宋_GB2312"/>
          <w:color w:val="000000"/>
        </w:rPr>
        <w:t>（二）裁判员等技术</w:t>
      </w:r>
      <w:r>
        <w:rPr>
          <w:rFonts w:hint="eastAsia" w:hAnsi="仿宋_GB2312" w:cs="仿宋_GB2312"/>
          <w:color w:val="000000"/>
          <w:lang w:eastAsia="zh-CN"/>
        </w:rPr>
        <w:t>官</w:t>
      </w:r>
      <w:bookmarkStart w:id="0" w:name="_GoBack"/>
      <w:bookmarkEnd w:id="0"/>
      <w:r>
        <w:rPr>
          <w:rFonts w:hint="eastAsia" w:ascii="仿宋_GB2312" w:hAnsi="仿宋_GB2312" w:eastAsia="仿宋_GB2312" w:cs="仿宋_GB2312"/>
          <w:color w:val="000000"/>
        </w:rPr>
        <w:t>员食宿、交通费用由组委会负责。</w:t>
      </w:r>
    </w:p>
    <w:p>
      <w:pPr>
        <w:pStyle w:val="2"/>
        <w:keepNext w:val="0"/>
        <w:keepLines w:val="0"/>
        <w:pageBreakBefore w:val="0"/>
        <w:kinsoku/>
        <w:wordWrap/>
        <w:overflowPunct/>
        <w:topLinePunct w:val="0"/>
        <w:autoSpaceDE/>
        <w:autoSpaceDN/>
        <w:bidi w:val="0"/>
        <w:adjustRightInd/>
        <w:snapToGrid/>
        <w:spacing w:line="560" w:lineRule="exact"/>
        <w:ind w:firstLine="552" w:firstLineChars="200"/>
        <w:textAlignment w:val="auto"/>
        <w:rPr>
          <w:rFonts w:hint="eastAsia" w:ascii="黑体" w:hAnsi="黑体" w:eastAsia="黑体" w:cs="黑体"/>
          <w:color w:val="auto"/>
          <w:sz w:val="32"/>
          <w:szCs w:val="32"/>
          <w:lang w:val="en-US" w:eastAsia="zh-CN"/>
        </w:rPr>
      </w:pPr>
      <w:r>
        <w:rPr>
          <w:rFonts w:hint="eastAsia" w:ascii="黑体" w:hAnsi="黑体" w:eastAsia="黑体"/>
          <w:bCs/>
          <w:color w:val="000000"/>
        </w:rPr>
        <w:t>十一、</w:t>
      </w:r>
      <w:r>
        <w:rPr>
          <w:rFonts w:hint="eastAsia" w:ascii="黑体" w:hAnsi="黑体" w:eastAsia="黑体" w:cs="黑体"/>
          <w:color w:val="auto"/>
          <w:sz w:val="32"/>
          <w:szCs w:val="32"/>
          <w:lang w:val="en-US" w:eastAsia="zh-CN"/>
        </w:rPr>
        <w:t>技术官员</w:t>
      </w:r>
    </w:p>
    <w:p>
      <w:pPr>
        <w:pStyle w:val="2"/>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裁判员</w:t>
      </w:r>
      <w:r>
        <w:rPr>
          <w:rFonts w:hint="eastAsia" w:ascii="仿宋_GB2312" w:hAnsi="仿宋_GB2312" w:eastAsia="仿宋_GB2312" w:cs="仿宋_GB2312"/>
          <w:color w:val="auto"/>
          <w:sz w:val="32"/>
          <w:szCs w:val="32"/>
          <w:lang w:eastAsia="zh-CN"/>
        </w:rPr>
        <w:t>等技术官员</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eastAsia="zh-CN"/>
        </w:rPr>
        <w:t>申诉</w:t>
      </w:r>
      <w:r>
        <w:rPr>
          <w:rFonts w:hint="eastAsia" w:ascii="仿宋_GB2312" w:hAnsi="仿宋_GB2312" w:eastAsia="仿宋_GB2312" w:cs="仿宋_GB2312"/>
          <w:color w:val="auto"/>
          <w:sz w:val="32"/>
          <w:szCs w:val="32"/>
        </w:rPr>
        <w:t>委员会由海南省旅游和文化广电体育厅统一选派。</w:t>
      </w:r>
    </w:p>
    <w:p>
      <w:pPr>
        <w:keepNext w:val="0"/>
        <w:keepLines w:val="0"/>
        <w:pageBreakBefore w:val="0"/>
        <w:kinsoku/>
        <w:wordWrap/>
        <w:overflowPunct/>
        <w:topLinePunct w:val="0"/>
        <w:bidi w:val="0"/>
        <w:snapToGrid/>
        <w:spacing w:line="560" w:lineRule="exact"/>
        <w:ind w:firstLine="632" w:firstLineChars="200"/>
        <w:textAlignment w:val="auto"/>
        <w:rPr>
          <w:rFonts w:hint="eastAsia"/>
          <w:color w:val="000000"/>
        </w:rPr>
      </w:pPr>
      <w:r>
        <w:rPr>
          <w:rFonts w:hint="eastAsia" w:ascii="黑体" w:hAnsi="黑体" w:eastAsia="黑体"/>
          <w:bCs/>
          <w:color w:val="000000"/>
        </w:rPr>
        <w:t>十二、本规程解释权属海南省</w:t>
      </w:r>
      <w:r>
        <w:rPr>
          <w:rFonts w:hint="eastAsia" w:ascii="黑体" w:hAnsi="黑体" w:eastAsia="黑体"/>
          <w:szCs w:val="32"/>
        </w:rPr>
        <w:t>旅游和文化广电体育厅</w:t>
      </w:r>
      <w:r>
        <w:rPr>
          <w:rFonts w:hint="eastAsia" w:ascii="黑体" w:hAnsi="黑体" w:eastAsia="黑体"/>
          <w:bCs/>
          <w:color w:val="000000"/>
        </w:rPr>
        <w:t>。未尽事宜，另行通知。</w:t>
      </w:r>
    </w:p>
    <w:p>
      <w:pPr>
        <w:spacing w:line="540" w:lineRule="exact"/>
        <w:ind w:firstLine="630"/>
        <w:rPr>
          <w:rFonts w:hint="eastAsia" w:hAnsi="仿宋_GB2312"/>
          <w:color w:val="000000"/>
        </w:rPr>
      </w:pPr>
    </w:p>
    <w:p>
      <w:pPr>
        <w:spacing w:line="540" w:lineRule="exact"/>
        <w:rPr>
          <w:rFonts w:hint="eastAsia" w:hAnsi="仿宋_GB2312"/>
          <w:color w:val="000000"/>
        </w:rPr>
      </w:pPr>
    </w:p>
    <w:p>
      <w:pPr>
        <w:spacing w:line="540" w:lineRule="exact"/>
        <w:rPr>
          <w:rFonts w:hint="eastAsia" w:hAnsi="仿宋_GB2312"/>
          <w:color w:val="000000"/>
        </w:rPr>
        <w:sectPr>
          <w:headerReference r:id="rId3" w:type="default"/>
          <w:footerReference r:id="rId5" w:type="default"/>
          <w:headerReference r:id="rId4" w:type="even"/>
          <w:footerReference r:id="rId6" w:type="even"/>
          <w:pgSz w:w="11906" w:h="16838"/>
          <w:pgMar w:top="2097" w:right="1474" w:bottom="1984" w:left="1587" w:header="851" w:footer="1729" w:gutter="0"/>
          <w:pgNumType w:fmt="numberInDash"/>
          <w:cols w:space="720" w:num="1"/>
          <w:docGrid w:type="lines" w:linePitch="312" w:charSpace="0"/>
        </w:sectPr>
      </w:pPr>
    </w:p>
    <w:p>
      <w:pPr>
        <w:spacing w:line="560" w:lineRule="exact"/>
        <w:jc w:val="left"/>
        <w:rPr>
          <w:rFonts w:hint="eastAsia" w:ascii="黑体" w:hAnsi="黑体" w:eastAsia="黑体" w:cs="黑体"/>
          <w:bCs/>
          <w:color w:val="0D0D0D"/>
          <w:sz w:val="28"/>
          <w:szCs w:val="28"/>
        </w:rPr>
      </w:pPr>
      <w:r>
        <w:rPr>
          <w:rFonts w:hint="eastAsia" w:ascii="黑体" w:hAnsi="黑体" w:eastAsia="黑体" w:cs="黑体"/>
          <w:bCs/>
          <w:color w:val="0D0D0D"/>
          <w:sz w:val="28"/>
          <w:szCs w:val="28"/>
        </w:rPr>
        <w:t>附</w:t>
      </w:r>
      <w:r>
        <w:rPr>
          <w:rFonts w:hint="eastAsia" w:ascii="黑体" w:hAnsi="黑体" w:eastAsia="黑体" w:cs="黑体"/>
          <w:bCs/>
          <w:color w:val="000000"/>
          <w:sz w:val="28"/>
          <w:szCs w:val="28"/>
        </w:rPr>
        <w:t>件14-</w:t>
      </w:r>
      <w:r>
        <w:rPr>
          <w:rFonts w:hint="eastAsia" w:ascii="黑体" w:hAnsi="黑体" w:eastAsia="黑体" w:cs="黑体"/>
          <w:bCs/>
          <w:color w:val="0D0D0D"/>
          <w:sz w:val="28"/>
          <w:szCs w:val="28"/>
        </w:rPr>
        <w:t>1</w:t>
      </w:r>
    </w:p>
    <w:p>
      <w:pPr>
        <w:spacing w:line="560" w:lineRule="exact"/>
        <w:jc w:val="center"/>
        <w:rPr>
          <w:rFonts w:hint="eastAsia" w:ascii="方正小标宋简体" w:hAnsi="方正小标宋简体" w:eastAsia="方正小标宋简体"/>
          <w:bCs/>
          <w:color w:val="0D0D0D"/>
          <w:sz w:val="36"/>
          <w:szCs w:val="36"/>
        </w:rPr>
      </w:pPr>
      <w:r>
        <w:rPr>
          <w:rFonts w:hint="eastAsia" w:ascii="方正小标宋简体" w:hAnsi="方正小标宋简体" w:eastAsia="方正小标宋简体"/>
          <w:bCs/>
          <w:color w:val="0D0D0D"/>
          <w:sz w:val="36"/>
          <w:szCs w:val="36"/>
        </w:rPr>
        <w:t>海南省第七届运动会乒乓球项目报名表</w:t>
      </w:r>
    </w:p>
    <w:p>
      <w:pPr>
        <w:spacing w:line="360" w:lineRule="exact"/>
        <w:jc w:val="center"/>
        <w:rPr>
          <w:rFonts w:hint="eastAsia" w:ascii="宋体" w:hAnsi="宋体" w:eastAsia="宋体"/>
          <w:b/>
          <w:color w:val="0D0D0D"/>
          <w:sz w:val="24"/>
        </w:rPr>
      </w:pPr>
    </w:p>
    <w:tbl>
      <w:tblPr>
        <w:tblStyle w:val="5"/>
        <w:tblW w:w="14309" w:type="dxa"/>
        <w:tblInd w:w="-108" w:type="dxa"/>
        <w:tblLayout w:type="fixed"/>
        <w:tblCellMar>
          <w:top w:w="0" w:type="dxa"/>
          <w:left w:w="108" w:type="dxa"/>
          <w:bottom w:w="0" w:type="dxa"/>
          <w:right w:w="108" w:type="dxa"/>
        </w:tblCellMar>
      </w:tblPr>
      <w:tblGrid>
        <w:gridCol w:w="524"/>
        <w:gridCol w:w="705"/>
        <w:gridCol w:w="525"/>
        <w:gridCol w:w="1230"/>
        <w:gridCol w:w="720"/>
        <w:gridCol w:w="705"/>
        <w:gridCol w:w="915"/>
        <w:gridCol w:w="753"/>
        <w:gridCol w:w="1107"/>
        <w:gridCol w:w="900"/>
        <w:gridCol w:w="555"/>
        <w:gridCol w:w="735"/>
        <w:gridCol w:w="750"/>
        <w:gridCol w:w="720"/>
        <w:gridCol w:w="180"/>
        <w:gridCol w:w="510"/>
        <w:gridCol w:w="2007"/>
        <w:gridCol w:w="768"/>
      </w:tblGrid>
      <w:tr>
        <w:tblPrEx>
          <w:tblCellMar>
            <w:top w:w="0" w:type="dxa"/>
            <w:left w:w="108" w:type="dxa"/>
            <w:bottom w:w="0" w:type="dxa"/>
            <w:right w:w="108" w:type="dxa"/>
          </w:tblCellMar>
        </w:tblPrEx>
        <w:trPr>
          <w:trHeight w:val="850" w:hRule="atLeast"/>
        </w:trPr>
        <w:tc>
          <w:tcPr>
            <w:tcW w:w="1754" w:type="dxa"/>
            <w:gridSpan w:val="3"/>
            <w:tcBorders>
              <w:top w:val="single" w:color="auto" w:sz="12" w:space="0"/>
              <w:left w:val="single" w:color="auto" w:sz="12"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00000"/>
                <w:kern w:val="0"/>
                <w:sz w:val="24"/>
              </w:rPr>
            </w:pPr>
            <w:r>
              <w:rPr>
                <w:rFonts w:hint="eastAsia" w:ascii="仿宋_GB2312" w:hAnsi="仿宋_GB2312" w:eastAsia="仿宋_GB2312" w:cs="仿宋_GB2312"/>
                <w:b/>
                <w:bCs/>
                <w:color w:val="000000"/>
                <w:kern w:val="0"/>
                <w:sz w:val="24"/>
              </w:rPr>
              <w:t>单  位</w:t>
            </w:r>
          </w:p>
        </w:tc>
        <w:tc>
          <w:tcPr>
            <w:tcW w:w="4323" w:type="dxa"/>
            <w:gridSpan w:val="5"/>
            <w:tcBorders>
              <w:top w:val="single" w:color="auto" w:sz="12" w:space="0"/>
              <w:left w:val="single" w:color="auto" w:sz="4"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pacing w:line="240" w:lineRule="auto"/>
              <w:jc w:val="center"/>
              <w:textAlignment w:val="auto"/>
              <w:rPr>
                <w:rFonts w:hint="eastAsia" w:ascii="仿宋_GB2312" w:hAnsi="仿宋_GB2312" w:eastAsia="仿宋_GB2312" w:cs="仿宋_GB2312"/>
                <w:b/>
                <w:bCs/>
                <w:color w:val="000000"/>
                <w:kern w:val="0"/>
                <w:sz w:val="24"/>
              </w:rPr>
            </w:pPr>
          </w:p>
        </w:tc>
        <w:tc>
          <w:tcPr>
            <w:tcW w:w="1107" w:type="dxa"/>
            <w:tcBorders>
              <w:top w:val="single" w:color="auto" w:sz="12" w:space="0"/>
              <w:left w:val="single" w:color="auto" w:sz="4"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pacing w:line="240" w:lineRule="auto"/>
              <w:jc w:val="center"/>
              <w:textAlignment w:val="auto"/>
              <w:rPr>
                <w:rFonts w:hint="eastAsia" w:ascii="仿宋_GB2312" w:hAnsi="仿宋_GB2312" w:eastAsia="仿宋_GB2312" w:cs="仿宋_GB2312"/>
                <w:b/>
                <w:bCs/>
                <w:color w:val="000000"/>
                <w:kern w:val="0"/>
                <w:sz w:val="24"/>
              </w:rPr>
            </w:pPr>
            <w:r>
              <w:rPr>
                <w:rFonts w:hint="eastAsia" w:ascii="仿宋_GB2312" w:hAnsi="仿宋_GB2312" w:eastAsia="仿宋_GB2312" w:cs="仿宋_GB2312"/>
                <w:b/>
                <w:bCs/>
                <w:color w:val="000000"/>
                <w:kern w:val="0"/>
                <w:sz w:val="24"/>
              </w:rPr>
              <w:t>联系人</w:t>
            </w:r>
          </w:p>
        </w:tc>
        <w:tc>
          <w:tcPr>
            <w:tcW w:w="2190" w:type="dxa"/>
            <w:gridSpan w:val="3"/>
            <w:tcBorders>
              <w:top w:val="single" w:color="auto" w:sz="12" w:space="0"/>
              <w:left w:val="single" w:color="auto" w:sz="4"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pacing w:line="240" w:lineRule="auto"/>
              <w:jc w:val="center"/>
              <w:textAlignment w:val="auto"/>
              <w:rPr>
                <w:rFonts w:hint="eastAsia" w:ascii="仿宋_GB2312" w:hAnsi="仿宋_GB2312" w:eastAsia="仿宋_GB2312" w:cs="仿宋_GB2312"/>
                <w:b/>
                <w:bCs/>
                <w:color w:val="000000"/>
                <w:kern w:val="0"/>
                <w:sz w:val="24"/>
                <w:lang w:eastAsia="ko-KR"/>
              </w:rPr>
            </w:pPr>
          </w:p>
        </w:tc>
        <w:tc>
          <w:tcPr>
            <w:tcW w:w="1650" w:type="dxa"/>
            <w:gridSpan w:val="3"/>
            <w:tcBorders>
              <w:top w:val="single" w:color="auto" w:sz="12" w:space="0"/>
              <w:left w:val="single" w:color="auto" w:sz="4"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pacing w:line="240" w:lineRule="auto"/>
              <w:jc w:val="center"/>
              <w:textAlignment w:val="auto"/>
              <w:rPr>
                <w:rFonts w:hint="eastAsia" w:ascii="仿宋_GB2312" w:hAnsi="仿宋_GB2312" w:eastAsia="仿宋_GB2312" w:cs="仿宋_GB2312"/>
                <w:b/>
                <w:bCs/>
                <w:color w:val="000000"/>
                <w:kern w:val="0"/>
                <w:sz w:val="24"/>
                <w:lang w:eastAsia="ko-KR"/>
              </w:rPr>
            </w:pPr>
            <w:r>
              <w:rPr>
                <w:rFonts w:hint="eastAsia" w:ascii="仿宋_GB2312" w:hAnsi="仿宋_GB2312" w:eastAsia="仿宋_GB2312" w:cs="仿宋_GB2312"/>
                <w:b/>
                <w:bCs/>
                <w:color w:val="000000"/>
                <w:kern w:val="0"/>
                <w:sz w:val="24"/>
              </w:rPr>
              <w:t>联系电话</w:t>
            </w:r>
          </w:p>
        </w:tc>
        <w:tc>
          <w:tcPr>
            <w:tcW w:w="3285" w:type="dxa"/>
            <w:gridSpan w:val="3"/>
            <w:tcBorders>
              <w:top w:val="single" w:color="auto" w:sz="12" w:space="0"/>
              <w:left w:val="single" w:color="auto" w:sz="4" w:space="0"/>
              <w:bottom w:val="single" w:color="auto" w:sz="12" w:space="0"/>
              <w:right w:val="single" w:color="auto" w:sz="12" w:space="0"/>
            </w:tcBorders>
            <w:noWrap w:val="0"/>
            <w:vAlign w:val="center"/>
          </w:tcPr>
          <w:p>
            <w:pPr>
              <w:keepNext w:val="0"/>
              <w:keepLines w:val="0"/>
              <w:pageBreakBefore w:val="0"/>
              <w:kinsoku/>
              <w:wordWrap/>
              <w:overflowPunct/>
              <w:topLinePunct w:val="0"/>
              <w:autoSpaceDE/>
              <w:autoSpaceDN/>
              <w:bidi w:val="0"/>
              <w:adjustRightInd w:val="0"/>
              <w:spacing w:line="240" w:lineRule="auto"/>
              <w:jc w:val="center"/>
              <w:textAlignment w:val="auto"/>
              <w:rPr>
                <w:rFonts w:hint="eastAsia" w:ascii="仿宋_GB2312" w:hAnsi="仿宋_GB2312" w:eastAsia="仿宋_GB2312" w:cs="仿宋_GB2312"/>
                <w:b/>
                <w:bCs/>
                <w:color w:val="000000"/>
                <w:kern w:val="0"/>
                <w:sz w:val="24"/>
                <w:lang w:eastAsia="ko-KR"/>
              </w:rPr>
            </w:pPr>
          </w:p>
        </w:tc>
      </w:tr>
      <w:tr>
        <w:tblPrEx>
          <w:tblCellMar>
            <w:top w:w="0" w:type="dxa"/>
            <w:left w:w="108" w:type="dxa"/>
            <w:bottom w:w="0" w:type="dxa"/>
            <w:right w:w="108" w:type="dxa"/>
          </w:tblCellMar>
        </w:tblPrEx>
        <w:trPr>
          <w:trHeight w:val="850" w:hRule="atLeast"/>
        </w:trPr>
        <w:tc>
          <w:tcPr>
            <w:tcW w:w="14309" w:type="dxa"/>
            <w:gridSpan w:val="18"/>
            <w:tcBorders>
              <w:top w:val="single" w:color="auto" w:sz="12" w:space="0"/>
              <w:left w:val="single" w:color="auto" w:sz="12" w:space="0"/>
              <w:bottom w:val="single" w:color="auto" w:sz="4" w:space="0"/>
              <w:right w:val="single" w:color="auto" w:sz="12"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b/>
                <w:bCs/>
                <w:color w:val="0D0D0D"/>
                <w:sz w:val="28"/>
                <w:szCs w:val="21"/>
              </w:rPr>
              <w:t>领队、队医和教练员</w:t>
            </w:r>
          </w:p>
        </w:tc>
      </w:tr>
      <w:tr>
        <w:tblPrEx>
          <w:tblCellMar>
            <w:top w:w="0" w:type="dxa"/>
            <w:left w:w="108" w:type="dxa"/>
            <w:bottom w:w="0" w:type="dxa"/>
            <w:right w:w="108" w:type="dxa"/>
          </w:tblCellMar>
        </w:tblPrEx>
        <w:trPr>
          <w:trHeight w:val="567" w:hRule="atLeast"/>
        </w:trPr>
        <w:tc>
          <w:tcPr>
            <w:tcW w:w="1754" w:type="dxa"/>
            <w:gridSpan w:val="3"/>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职  务</w:t>
            </w:r>
          </w:p>
        </w:tc>
        <w:tc>
          <w:tcPr>
            <w:tcW w:w="265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姓  名</w:t>
            </w:r>
          </w:p>
        </w:tc>
        <w:tc>
          <w:tcPr>
            <w:tcW w:w="9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性别</w:t>
            </w:r>
          </w:p>
        </w:tc>
        <w:tc>
          <w:tcPr>
            <w:tcW w:w="18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出生年月</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民族</w:t>
            </w:r>
          </w:p>
        </w:tc>
        <w:tc>
          <w:tcPr>
            <w:tcW w:w="294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职务/职称</w:t>
            </w:r>
          </w:p>
        </w:tc>
        <w:tc>
          <w:tcPr>
            <w:tcW w:w="3285" w:type="dxa"/>
            <w:gridSpan w:val="3"/>
            <w:tcBorders>
              <w:top w:val="single" w:color="auto" w:sz="4" w:space="0"/>
              <w:left w:val="single" w:color="auto" w:sz="4" w:space="0"/>
              <w:bottom w:val="single" w:color="auto" w:sz="4" w:space="0"/>
              <w:right w:val="single" w:color="auto" w:sz="12"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联系电话</w:t>
            </w:r>
          </w:p>
        </w:tc>
      </w:tr>
      <w:tr>
        <w:tblPrEx>
          <w:tblCellMar>
            <w:top w:w="0" w:type="dxa"/>
            <w:left w:w="108" w:type="dxa"/>
            <w:bottom w:w="0" w:type="dxa"/>
            <w:right w:w="108" w:type="dxa"/>
          </w:tblCellMar>
        </w:tblPrEx>
        <w:trPr>
          <w:trHeight w:val="567" w:hRule="atLeast"/>
        </w:trPr>
        <w:tc>
          <w:tcPr>
            <w:tcW w:w="1754" w:type="dxa"/>
            <w:gridSpan w:val="3"/>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领  队</w:t>
            </w:r>
          </w:p>
        </w:tc>
        <w:tc>
          <w:tcPr>
            <w:tcW w:w="265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9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8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94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3285" w:type="dxa"/>
            <w:gridSpan w:val="3"/>
            <w:tcBorders>
              <w:top w:val="single" w:color="auto" w:sz="4" w:space="0"/>
              <w:left w:val="single" w:color="auto" w:sz="4" w:space="0"/>
              <w:bottom w:val="single" w:color="auto" w:sz="4" w:space="0"/>
              <w:right w:val="single" w:color="auto" w:sz="12"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CellMar>
            <w:top w:w="0" w:type="dxa"/>
            <w:left w:w="108" w:type="dxa"/>
            <w:bottom w:w="0" w:type="dxa"/>
            <w:right w:w="108" w:type="dxa"/>
          </w:tblCellMar>
        </w:tblPrEx>
        <w:trPr>
          <w:trHeight w:val="567" w:hRule="atLeast"/>
        </w:trPr>
        <w:tc>
          <w:tcPr>
            <w:tcW w:w="1754" w:type="dxa"/>
            <w:gridSpan w:val="3"/>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队  医</w:t>
            </w:r>
          </w:p>
        </w:tc>
        <w:tc>
          <w:tcPr>
            <w:tcW w:w="265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9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8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94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3285" w:type="dxa"/>
            <w:gridSpan w:val="3"/>
            <w:tcBorders>
              <w:top w:val="single" w:color="auto" w:sz="4" w:space="0"/>
              <w:left w:val="single" w:color="auto" w:sz="4" w:space="0"/>
              <w:bottom w:val="single" w:color="auto" w:sz="4" w:space="0"/>
              <w:right w:val="single" w:color="auto" w:sz="12"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CellMar>
            <w:top w:w="0" w:type="dxa"/>
            <w:left w:w="108" w:type="dxa"/>
            <w:bottom w:w="0" w:type="dxa"/>
            <w:right w:w="108" w:type="dxa"/>
          </w:tblCellMar>
        </w:tblPrEx>
        <w:trPr>
          <w:trHeight w:val="567" w:hRule="atLeast"/>
        </w:trPr>
        <w:tc>
          <w:tcPr>
            <w:tcW w:w="1754" w:type="dxa"/>
            <w:gridSpan w:val="3"/>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教练员</w:t>
            </w:r>
          </w:p>
        </w:tc>
        <w:tc>
          <w:tcPr>
            <w:tcW w:w="265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9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8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94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3285" w:type="dxa"/>
            <w:gridSpan w:val="3"/>
            <w:tcBorders>
              <w:top w:val="single" w:color="auto" w:sz="4" w:space="0"/>
              <w:left w:val="single" w:color="auto" w:sz="4" w:space="0"/>
              <w:bottom w:val="single" w:color="auto" w:sz="4" w:space="0"/>
              <w:right w:val="single" w:color="auto" w:sz="12"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CellMar>
            <w:top w:w="0" w:type="dxa"/>
            <w:left w:w="108" w:type="dxa"/>
            <w:bottom w:w="0" w:type="dxa"/>
            <w:right w:w="108" w:type="dxa"/>
          </w:tblCellMar>
        </w:tblPrEx>
        <w:trPr>
          <w:trHeight w:val="567" w:hRule="atLeast"/>
        </w:trPr>
        <w:tc>
          <w:tcPr>
            <w:tcW w:w="1754" w:type="dxa"/>
            <w:gridSpan w:val="3"/>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教练员</w:t>
            </w:r>
          </w:p>
        </w:tc>
        <w:tc>
          <w:tcPr>
            <w:tcW w:w="265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9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8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94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3285" w:type="dxa"/>
            <w:gridSpan w:val="3"/>
            <w:tcBorders>
              <w:top w:val="single" w:color="auto" w:sz="4" w:space="0"/>
              <w:left w:val="single" w:color="auto" w:sz="4" w:space="0"/>
              <w:bottom w:val="single" w:color="auto" w:sz="4" w:space="0"/>
              <w:right w:val="single" w:color="auto" w:sz="12"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CellMar>
            <w:top w:w="0" w:type="dxa"/>
            <w:left w:w="108" w:type="dxa"/>
            <w:bottom w:w="0" w:type="dxa"/>
            <w:right w:w="108" w:type="dxa"/>
          </w:tblCellMar>
        </w:tblPrEx>
        <w:trPr>
          <w:trHeight w:val="567" w:hRule="atLeast"/>
        </w:trPr>
        <w:tc>
          <w:tcPr>
            <w:tcW w:w="1754" w:type="dxa"/>
            <w:gridSpan w:val="3"/>
            <w:tcBorders>
              <w:top w:val="single" w:color="auto" w:sz="4" w:space="0"/>
              <w:left w:val="single" w:color="auto" w:sz="12"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教练员</w:t>
            </w:r>
          </w:p>
        </w:tc>
        <w:tc>
          <w:tcPr>
            <w:tcW w:w="2655" w:type="dxa"/>
            <w:gridSpan w:val="3"/>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915" w:type="dxa"/>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860" w:type="dxa"/>
            <w:gridSpan w:val="2"/>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900" w:type="dxa"/>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940" w:type="dxa"/>
            <w:gridSpan w:val="5"/>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3285" w:type="dxa"/>
            <w:gridSpan w:val="3"/>
            <w:tcBorders>
              <w:top w:val="single" w:color="auto" w:sz="4" w:space="0"/>
              <w:left w:val="single" w:color="auto" w:sz="4" w:space="0"/>
              <w:bottom w:val="single" w:color="auto" w:sz="12" w:space="0"/>
              <w:right w:val="single" w:color="auto" w:sz="12"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CellMar>
            <w:top w:w="0" w:type="dxa"/>
            <w:left w:w="108" w:type="dxa"/>
            <w:bottom w:w="0" w:type="dxa"/>
            <w:right w:w="108" w:type="dxa"/>
          </w:tblCellMar>
        </w:tblPrEx>
        <w:trPr>
          <w:trHeight w:val="850" w:hRule="atLeast"/>
        </w:trPr>
        <w:tc>
          <w:tcPr>
            <w:tcW w:w="14309" w:type="dxa"/>
            <w:gridSpan w:val="18"/>
            <w:tcBorders>
              <w:top w:val="single" w:color="auto" w:sz="12" w:space="0"/>
              <w:left w:val="single" w:color="auto" w:sz="12" w:space="0"/>
              <w:bottom w:val="single" w:color="auto" w:sz="12" w:space="0"/>
              <w:right w:val="single" w:color="auto" w:sz="1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kern w:val="0"/>
                <w:sz w:val="24"/>
              </w:rPr>
            </w:pPr>
            <w:r>
              <w:rPr>
                <w:rFonts w:hint="eastAsia" w:ascii="仿宋_GB2312" w:hAnsi="仿宋_GB2312" w:eastAsia="仿宋_GB2312" w:cs="仿宋_GB2312"/>
                <w:b/>
                <w:bCs/>
                <w:color w:val="000000"/>
                <w:kern w:val="0"/>
                <w:sz w:val="28"/>
                <w:szCs w:val="21"/>
              </w:rPr>
              <w:t>运 动 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524" w:type="dxa"/>
            <w:vMerge w:val="restart"/>
            <w:tcBorders>
              <w:top w:val="single" w:color="auto" w:sz="12" w:space="0"/>
              <w:left w:val="single" w:color="auto" w:sz="12"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序号</w:t>
            </w:r>
          </w:p>
        </w:tc>
        <w:tc>
          <w:tcPr>
            <w:tcW w:w="705" w:type="dxa"/>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组 别</w:t>
            </w:r>
          </w:p>
        </w:tc>
        <w:tc>
          <w:tcPr>
            <w:tcW w:w="1755" w:type="dxa"/>
            <w:gridSpan w:val="2"/>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姓  名</w:t>
            </w:r>
          </w:p>
        </w:tc>
        <w:tc>
          <w:tcPr>
            <w:tcW w:w="720" w:type="dxa"/>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性别</w:t>
            </w:r>
          </w:p>
        </w:tc>
        <w:tc>
          <w:tcPr>
            <w:tcW w:w="705" w:type="dxa"/>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民族</w:t>
            </w:r>
          </w:p>
        </w:tc>
        <w:tc>
          <w:tcPr>
            <w:tcW w:w="1668" w:type="dxa"/>
            <w:gridSpan w:val="2"/>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身份证号码</w:t>
            </w:r>
          </w:p>
        </w:tc>
        <w:tc>
          <w:tcPr>
            <w:tcW w:w="2562" w:type="dxa"/>
            <w:gridSpan w:val="3"/>
            <w:vMerge w:val="restart"/>
            <w:tcBorders>
              <w:top w:val="single" w:color="auto" w:sz="12"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注册证号</w:t>
            </w:r>
          </w:p>
        </w:tc>
        <w:tc>
          <w:tcPr>
            <w:tcW w:w="2895" w:type="dxa"/>
            <w:gridSpan w:val="5"/>
            <w:tcBorders>
              <w:top w:val="single" w:color="auto" w:sz="12"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比赛项目</w:t>
            </w:r>
          </w:p>
        </w:tc>
        <w:tc>
          <w:tcPr>
            <w:tcW w:w="2007" w:type="dxa"/>
            <w:vMerge w:val="restart"/>
            <w:tcBorders>
              <w:top w:val="single" w:color="auto" w:sz="12"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left"/>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直拍填“1”；削球打法填“2”；其它不填</w:t>
            </w:r>
          </w:p>
        </w:tc>
        <w:tc>
          <w:tcPr>
            <w:tcW w:w="768" w:type="dxa"/>
            <w:vMerge w:val="restart"/>
            <w:tcBorders>
              <w:top w:val="single" w:color="auto" w:sz="12" w:space="0"/>
              <w:left w:val="single" w:color="auto" w:sz="4" w:space="0"/>
              <w:bottom w:val="single" w:color="auto" w:sz="4" w:space="0"/>
              <w:right w:val="single" w:color="auto" w:sz="12"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524" w:type="dxa"/>
            <w:vMerge w:val="continue"/>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textAlignment w:val="auto"/>
              <w:rPr>
                <w:rFonts w:hint="eastAsia" w:ascii="仿宋_GB2312" w:hAnsi="仿宋_GB2312" w:eastAsia="仿宋_GB2312" w:cs="仿宋_GB2312"/>
                <w:b/>
                <w:bCs/>
                <w:color w:val="0D0D0D"/>
                <w:sz w:val="24"/>
              </w:rPr>
            </w:pPr>
          </w:p>
        </w:tc>
        <w:tc>
          <w:tcPr>
            <w:tcW w:w="705" w:type="dxa"/>
            <w:vMerge w:val="continue"/>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textAlignment w:val="auto"/>
              <w:rPr>
                <w:rFonts w:hint="eastAsia" w:ascii="仿宋_GB2312" w:hAnsi="仿宋_GB2312" w:eastAsia="仿宋_GB2312" w:cs="仿宋_GB2312"/>
                <w:b/>
                <w:bCs/>
                <w:color w:val="0D0D0D"/>
                <w:sz w:val="24"/>
              </w:rPr>
            </w:pPr>
          </w:p>
        </w:tc>
        <w:tc>
          <w:tcPr>
            <w:tcW w:w="1755" w:type="dxa"/>
            <w:gridSpan w:val="2"/>
            <w:vMerge w:val="continue"/>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textAlignment w:val="auto"/>
              <w:rPr>
                <w:rFonts w:hint="eastAsia" w:ascii="仿宋_GB2312" w:hAnsi="仿宋_GB2312" w:eastAsia="仿宋_GB2312" w:cs="仿宋_GB2312"/>
                <w:b/>
                <w:bCs/>
                <w:color w:val="0D0D0D"/>
                <w:sz w:val="24"/>
              </w:rPr>
            </w:pPr>
          </w:p>
        </w:tc>
        <w:tc>
          <w:tcPr>
            <w:tcW w:w="720" w:type="dxa"/>
            <w:vMerge w:val="continue"/>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textAlignment w:val="auto"/>
              <w:rPr>
                <w:rFonts w:hint="eastAsia" w:ascii="仿宋_GB2312" w:hAnsi="仿宋_GB2312" w:eastAsia="仿宋_GB2312" w:cs="仿宋_GB2312"/>
                <w:b/>
                <w:bCs/>
                <w:color w:val="0D0D0D"/>
                <w:sz w:val="24"/>
              </w:rPr>
            </w:pPr>
          </w:p>
        </w:tc>
        <w:tc>
          <w:tcPr>
            <w:tcW w:w="705" w:type="dxa"/>
            <w:vMerge w:val="continue"/>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textAlignment w:val="auto"/>
              <w:rPr>
                <w:rFonts w:hint="eastAsia" w:ascii="仿宋_GB2312" w:hAnsi="仿宋_GB2312" w:eastAsia="仿宋_GB2312" w:cs="仿宋_GB2312"/>
                <w:b/>
                <w:bCs/>
                <w:color w:val="0D0D0D"/>
                <w:sz w:val="24"/>
              </w:rPr>
            </w:pPr>
          </w:p>
        </w:tc>
        <w:tc>
          <w:tcPr>
            <w:tcW w:w="1668" w:type="dxa"/>
            <w:gridSpan w:val="2"/>
            <w:vMerge w:val="continue"/>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textAlignment w:val="auto"/>
              <w:rPr>
                <w:rFonts w:hint="eastAsia" w:ascii="仿宋_GB2312" w:hAnsi="仿宋_GB2312" w:eastAsia="仿宋_GB2312" w:cs="仿宋_GB2312"/>
                <w:b/>
                <w:bCs/>
                <w:color w:val="0D0D0D"/>
                <w:sz w:val="24"/>
              </w:rPr>
            </w:pPr>
          </w:p>
        </w:tc>
        <w:tc>
          <w:tcPr>
            <w:tcW w:w="2562" w:type="dxa"/>
            <w:gridSpan w:val="3"/>
            <w:vMerge w:val="continue"/>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textAlignment w:val="auto"/>
              <w:rPr>
                <w:rFonts w:hint="eastAsia" w:ascii="仿宋_GB2312" w:hAnsi="仿宋_GB2312" w:eastAsia="仿宋_GB2312" w:cs="仿宋_GB2312"/>
                <w:b/>
                <w:bCs/>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团体</w:t>
            </w: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单打</w:t>
            </w:r>
          </w:p>
        </w:tc>
        <w:tc>
          <w:tcPr>
            <w:tcW w:w="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双打</w:t>
            </w:r>
          </w:p>
        </w:tc>
        <w:tc>
          <w:tcPr>
            <w:tcW w:w="69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混合双打</w:t>
            </w:r>
          </w:p>
        </w:tc>
        <w:tc>
          <w:tcPr>
            <w:tcW w:w="2007"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p>
        </w:tc>
        <w:tc>
          <w:tcPr>
            <w:tcW w:w="768" w:type="dxa"/>
            <w:vMerge w:val="continue"/>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textAlignment w:val="auto"/>
              <w:rPr>
                <w:rFonts w:hint="eastAsia" w:ascii="仿宋_GB2312" w:hAnsi="仿宋_GB2312" w:eastAsia="仿宋_GB2312" w:cs="仿宋_GB2312"/>
                <w:b/>
                <w:bCs/>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12"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w:t>
            </w:r>
          </w:p>
        </w:tc>
        <w:tc>
          <w:tcPr>
            <w:tcW w:w="705" w:type="dxa"/>
            <w:vMerge w:val="restart"/>
            <w:tcBorders>
              <w:top w:val="single" w:color="auto" w:sz="12"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p>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甲</w:t>
            </w:r>
          </w:p>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组</w:t>
            </w:r>
          </w:p>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(U19组)</w:t>
            </w:r>
          </w:p>
        </w:tc>
        <w:tc>
          <w:tcPr>
            <w:tcW w:w="1755" w:type="dxa"/>
            <w:gridSpan w:val="2"/>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12"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2</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3</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4</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5</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6</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7</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8</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9</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10</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11</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12</w:t>
            </w:r>
          </w:p>
        </w:tc>
        <w:tc>
          <w:tcPr>
            <w:tcW w:w="705" w:type="dxa"/>
            <w:vMerge w:val="continue"/>
            <w:tcBorders>
              <w:left w:val="single" w:color="auto" w:sz="4" w:space="0"/>
              <w:bottom w:val="single" w:color="000000"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12"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12"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w:t>
            </w:r>
          </w:p>
        </w:tc>
        <w:tc>
          <w:tcPr>
            <w:tcW w:w="705" w:type="dxa"/>
            <w:vMerge w:val="restart"/>
            <w:tcBorders>
              <w:top w:val="single" w:color="000000" w:sz="12"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乙</w:t>
            </w:r>
          </w:p>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组</w:t>
            </w:r>
          </w:p>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(U15组)</w:t>
            </w:r>
          </w:p>
        </w:tc>
        <w:tc>
          <w:tcPr>
            <w:tcW w:w="1755" w:type="dxa"/>
            <w:gridSpan w:val="2"/>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12"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2</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3</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4</w:t>
            </w:r>
          </w:p>
        </w:tc>
        <w:tc>
          <w:tcPr>
            <w:tcW w:w="70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5</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6</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7</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8</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9</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10</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11</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12</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12"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w:t>
            </w:r>
          </w:p>
        </w:tc>
        <w:tc>
          <w:tcPr>
            <w:tcW w:w="705" w:type="dxa"/>
            <w:vMerge w:val="restart"/>
            <w:tcBorders>
              <w:top w:val="single" w:color="auto" w:sz="12"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p>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丙</w:t>
            </w:r>
          </w:p>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组</w:t>
            </w:r>
          </w:p>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color w:val="0D0D0D"/>
                <w:sz w:val="24"/>
              </w:rPr>
            </w:pPr>
            <w:r>
              <w:rPr>
                <w:rFonts w:hint="eastAsia" w:ascii="仿宋_GB2312" w:hAnsi="仿宋_GB2312" w:eastAsia="仿宋_GB2312" w:cs="仿宋_GB2312"/>
                <w:b/>
                <w:bCs/>
                <w:color w:val="0D0D0D"/>
                <w:sz w:val="24"/>
              </w:rPr>
              <w:t>(U13组)</w:t>
            </w:r>
          </w:p>
        </w:tc>
        <w:tc>
          <w:tcPr>
            <w:tcW w:w="1755" w:type="dxa"/>
            <w:gridSpan w:val="2"/>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12"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12"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2</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3</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4</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5</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6</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7</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8</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9</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10</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11</w:t>
            </w:r>
          </w:p>
        </w:tc>
        <w:tc>
          <w:tcPr>
            <w:tcW w:w="705"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4"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tcBorders>
              <w:top w:val="single" w:color="auto" w:sz="4" w:space="0"/>
              <w:left w:val="single" w:color="auto" w:sz="12"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12</w:t>
            </w:r>
          </w:p>
        </w:tc>
        <w:tc>
          <w:tcPr>
            <w:tcW w:w="705" w:type="dxa"/>
            <w:vMerge w:val="continue"/>
            <w:tcBorders>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755" w:type="dxa"/>
            <w:gridSpan w:val="2"/>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05"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1668" w:type="dxa"/>
            <w:gridSpan w:val="2"/>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562" w:type="dxa"/>
            <w:gridSpan w:val="3"/>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35"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50"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20"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690" w:type="dxa"/>
            <w:gridSpan w:val="2"/>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2007" w:type="dxa"/>
            <w:tcBorders>
              <w:top w:val="single" w:color="auto" w:sz="4" w:space="0"/>
              <w:left w:val="single" w:color="auto" w:sz="4" w:space="0"/>
              <w:bottom w:val="single" w:color="auto" w:sz="12" w:space="0"/>
              <w:right w:val="single" w:color="auto" w:sz="4"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c>
          <w:tcPr>
            <w:tcW w:w="768" w:type="dxa"/>
            <w:tcBorders>
              <w:top w:val="single" w:color="auto" w:sz="4" w:space="0"/>
              <w:left w:val="single" w:color="auto" w:sz="4" w:space="0"/>
              <w:bottom w:val="single" w:color="auto" w:sz="12" w:space="0"/>
              <w:right w:val="single" w:color="auto" w:sz="12" w:space="0"/>
            </w:tcBorders>
            <w:noWrap w:val="0"/>
            <w:vAlign w:val="top"/>
          </w:tcPr>
          <w:p>
            <w:pPr>
              <w:keepNext w:val="0"/>
              <w:keepLines w:val="0"/>
              <w:pageBreakBefore w:val="0"/>
              <w:kinsoku/>
              <w:wordWrap/>
              <w:overflowPunct/>
              <w:topLinePunct w:val="0"/>
              <w:autoSpaceDE/>
              <w:autoSpaceDN/>
              <w:bidi w:val="0"/>
              <w:spacing w:line="240" w:lineRule="auto"/>
              <w:jc w:val="center"/>
              <w:textAlignment w:val="auto"/>
              <w:rPr>
                <w:rFonts w:hint="eastAsia" w:ascii="仿宋_GB2312" w:hAnsi="仿宋_GB2312" w:eastAsia="仿宋_GB2312" w:cs="仿宋_GB2312"/>
                <w:color w:val="0D0D0D"/>
                <w:sz w:val="24"/>
              </w:rPr>
            </w:pPr>
          </w:p>
        </w:tc>
      </w:tr>
    </w:tbl>
    <w:p>
      <w:pPr>
        <w:spacing w:line="560" w:lineRule="exact"/>
        <w:rPr>
          <w:rFonts w:hint="eastAsia" w:hAnsi="仿宋_GB2312"/>
          <w:color w:val="000000"/>
          <w:sz w:val="32"/>
          <w:szCs w:val="32"/>
        </w:rPr>
      </w:pPr>
      <w:r>
        <w:rPr>
          <w:rFonts w:hint="eastAsia" w:hAnsi="仿宋_GB2312"/>
          <w:color w:val="000000"/>
          <w:sz w:val="32"/>
          <w:szCs w:val="32"/>
        </w:rPr>
        <w:t xml:space="preserve"> 注：在团体、单打栏内填写“√”；在双打、混合双打栏内填写相同的数字或字母。</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color w:val="000000"/>
          <w:sz w:val="32"/>
          <w:szCs w:val="32"/>
        </w:rPr>
      </w:pPr>
      <w:r>
        <w:rPr>
          <w:rFonts w:hint="eastAsia" w:hAnsi="仿宋_GB2312"/>
          <w:color w:val="000000"/>
          <w:sz w:val="32"/>
          <w:szCs w:val="32"/>
        </w:rPr>
        <w:t>负责人签名：                      单位（盖章）：              2026年   月   日</w:t>
      </w:r>
    </w:p>
    <w:sectPr>
      <w:footerReference r:id="rId7" w:type="default"/>
      <w:footerReference r:id="rId8" w:type="even"/>
      <w:pgSz w:w="16838" w:h="11906" w:orient="landscape"/>
      <w:pgMar w:top="1531" w:right="1928" w:bottom="1474"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A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2EFF" w:usb1="D200FDFF" w:usb2="0A246029" w:usb3="00000000"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GhpgkvTAAAABQEA&#10;AA8AAAAAAAAAAQAgAAAAOAAAAGRycy9kb3ducmV2LnhtbFBLAQIUABQAAAAIAIdO4kBgcnE80AEA&#10;AKMDAAAOAAAAAAAAAAEAIAAAADgBAABkcnMvZTJvRG9jLnhtbFBLBQYAAAAABgAGAFkBAAB6BQAA&#10;AAA=&#10;">
              <v:fill on="f" focussize="0,0"/>
              <v:stroke on="f" weight="1.2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76" w:firstLineChars="100"/>
      <w:rPr>
        <w:rFonts w:hint="eastAsia" w:ascii="宋体" w:hAnsi="宋体" w:eastAsia="宋体"/>
        <w:sz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BoaYJL0wAAAAUB&#10;AAAPAAAAAAAAAAEAIAAAADgAAABkcnMvZG93bnJldi54bWxQSwECFAAUAAAACACHTuJAXiVGdNEB&#10;AACjAwAADgAAAAAAAAABACAAAAA4AQAAZHJzL2Uyb0RvYy54bWxQSwUGAAAAAAYABgBZAQAAewUA&#10;AAAA&#10;">
              <v:fill on="f" focussize="0,0"/>
              <v:stroke on="f" weight="1.2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7728" w:firstLineChars="2800"/>
      <w:rPr>
        <w:rFonts w:hint="eastAsia" w:ascii="宋体" w:hAnsi="宋体" w:eastAsia="宋体"/>
        <w:sz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ind w:firstLine="7728" w:firstLineChars="2800"/>
                          </w:pP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hint="eastAsia" w:ascii="宋体" w:hAnsi="宋体" w:eastAsia="宋体"/>
                              <w:sz w:val="28"/>
                            </w:rPr>
                            <w:t>- 1 -</w:t>
                          </w:r>
                          <w:r>
                            <w:rPr>
                              <w:rFonts w:hint="eastAsia" w:ascii="宋体" w:hAnsi="宋体" w:eastAsia="宋体"/>
                              <w:sz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aGmCS9MAAAAF&#10;AQAADwAAAAAAAAABACAAAAA4AAAAZHJzL2Rvd25yZXYueG1sUEsBAhQAFAAAAAgAh07iQIsVhPrS&#10;AQAAowMAAA4AAAAAAAAAAQAgAAAAOAEAAGRycy9lMm9Eb2MueG1sUEsFBgAAAAAGAAYAWQEAAHwF&#10;AAAAAA==&#10;">
              <v:fill on="f" focussize="0,0"/>
              <v:stroke on="f" weight="1.25pt"/>
              <v:imagedata o:title=""/>
              <o:lock v:ext="edit" aspectratio="f"/>
              <v:textbox inset="0mm,0mm,0mm,0mm" style="mso-fit-shape-to-text:t;">
                <w:txbxContent>
                  <w:p>
                    <w:pPr>
                      <w:pStyle w:val="3"/>
                      <w:ind w:firstLine="7728" w:firstLineChars="2800"/>
                    </w:pP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hint="eastAsia" w:ascii="宋体" w:hAnsi="宋体" w:eastAsia="宋体"/>
                        <w:sz w:val="28"/>
                      </w:rPr>
                      <w:t>- 1 -</w:t>
                    </w:r>
                    <w:r>
                      <w:rPr>
                        <w:rFonts w:hint="eastAsia" w:ascii="宋体" w:hAnsi="宋体" w:eastAsia="宋体"/>
                        <w:sz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76" w:firstLineChars="100"/>
      <w:rPr>
        <w:rFonts w:hint="eastAsia" w:ascii="宋体" w:hAnsi="宋体" w:eastAsia="宋体"/>
        <w:sz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ind w:firstLine="276" w:firstLineChars="100"/>
                          </w:pP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hint="eastAsia" w:ascii="宋体" w:hAnsi="宋体" w:eastAsia="宋体"/>
                              <w:sz w:val="28"/>
                            </w:rPr>
                            <w:t>- 6 -</w:t>
                          </w:r>
                          <w:r>
                            <w:rPr>
                              <w:rFonts w:hint="eastAsia" w:ascii="宋体" w:hAnsi="宋体" w:eastAsia="宋体"/>
                              <w:sz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aGmCS9MAAAAF&#10;AQAADwAAAAAAAAABACAAAAA4AAAAZHJzL2Rvd25yZXYueG1sUEsBAhQAFAAAAAgAh07iQCKLKOTS&#10;AQAAowMAAA4AAAAAAAAAAQAgAAAAOAEAAGRycy9lMm9Eb2MueG1sUEsFBgAAAAAGAAYAWQEAAHwF&#10;AAAAAA==&#10;">
              <v:fill on="f" focussize="0,0"/>
              <v:stroke on="f" weight="1.25pt"/>
              <v:imagedata o:title=""/>
              <o:lock v:ext="edit" aspectratio="f"/>
              <v:textbox inset="0mm,0mm,0mm,0mm" style="mso-fit-shape-to-text:t;">
                <w:txbxContent>
                  <w:p>
                    <w:pPr>
                      <w:pStyle w:val="3"/>
                      <w:ind w:firstLine="276" w:firstLineChars="100"/>
                    </w:pP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hint="eastAsia" w:ascii="宋体" w:hAnsi="宋体" w:eastAsia="宋体"/>
                        <w:sz w:val="28"/>
                      </w:rPr>
                      <w:t>- 6 -</w:t>
                    </w:r>
                    <w:r>
                      <w:rPr>
                        <w:rFonts w:hint="eastAsia" w:ascii="宋体" w:hAnsi="宋体" w:eastAsia="宋体"/>
                        <w:sz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0"/>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3YmExZTVlMjMyNGMxNTkxZGRjZjA5M2MyNTAxN2QifQ=="/>
  </w:docVars>
  <w:rsids>
    <w:rsidRoot w:val="00172A27"/>
    <w:rsid w:val="00026A94"/>
    <w:rsid w:val="000503BD"/>
    <w:rsid w:val="00065CD7"/>
    <w:rsid w:val="000C537E"/>
    <w:rsid w:val="000D0709"/>
    <w:rsid w:val="000E7017"/>
    <w:rsid w:val="000F6DD5"/>
    <w:rsid w:val="00101A28"/>
    <w:rsid w:val="00112BF2"/>
    <w:rsid w:val="0012764D"/>
    <w:rsid w:val="00144AD5"/>
    <w:rsid w:val="00152965"/>
    <w:rsid w:val="001842E1"/>
    <w:rsid w:val="00184EA5"/>
    <w:rsid w:val="00187C60"/>
    <w:rsid w:val="001E06B2"/>
    <w:rsid w:val="001E5351"/>
    <w:rsid w:val="002021A0"/>
    <w:rsid w:val="0021137B"/>
    <w:rsid w:val="0022400E"/>
    <w:rsid w:val="00250ECD"/>
    <w:rsid w:val="00252135"/>
    <w:rsid w:val="0026374E"/>
    <w:rsid w:val="002637A8"/>
    <w:rsid w:val="00270363"/>
    <w:rsid w:val="00275FAE"/>
    <w:rsid w:val="0028608A"/>
    <w:rsid w:val="002A09A7"/>
    <w:rsid w:val="002D0CEC"/>
    <w:rsid w:val="002D42D9"/>
    <w:rsid w:val="00314A24"/>
    <w:rsid w:val="00326E2D"/>
    <w:rsid w:val="003309C3"/>
    <w:rsid w:val="0033640F"/>
    <w:rsid w:val="003448F6"/>
    <w:rsid w:val="00360C6E"/>
    <w:rsid w:val="00365AED"/>
    <w:rsid w:val="00382AE0"/>
    <w:rsid w:val="003916F6"/>
    <w:rsid w:val="003A0F4B"/>
    <w:rsid w:val="003D3751"/>
    <w:rsid w:val="003F5DB2"/>
    <w:rsid w:val="00431899"/>
    <w:rsid w:val="00452F6A"/>
    <w:rsid w:val="00463E11"/>
    <w:rsid w:val="00474AD2"/>
    <w:rsid w:val="004A0409"/>
    <w:rsid w:val="004B3B39"/>
    <w:rsid w:val="004B535C"/>
    <w:rsid w:val="004B7251"/>
    <w:rsid w:val="004C086D"/>
    <w:rsid w:val="004C2B87"/>
    <w:rsid w:val="00500C45"/>
    <w:rsid w:val="005061FC"/>
    <w:rsid w:val="00513633"/>
    <w:rsid w:val="00566FDB"/>
    <w:rsid w:val="00576ED2"/>
    <w:rsid w:val="00587BCF"/>
    <w:rsid w:val="00590479"/>
    <w:rsid w:val="00597C33"/>
    <w:rsid w:val="005D4A64"/>
    <w:rsid w:val="005E012D"/>
    <w:rsid w:val="005E4F48"/>
    <w:rsid w:val="00602A59"/>
    <w:rsid w:val="00602DC9"/>
    <w:rsid w:val="0060694D"/>
    <w:rsid w:val="00613C6C"/>
    <w:rsid w:val="00617A50"/>
    <w:rsid w:val="0063121C"/>
    <w:rsid w:val="006322C1"/>
    <w:rsid w:val="00660E48"/>
    <w:rsid w:val="00660F11"/>
    <w:rsid w:val="006667BE"/>
    <w:rsid w:val="006A1D29"/>
    <w:rsid w:val="006A4A53"/>
    <w:rsid w:val="006C5AA7"/>
    <w:rsid w:val="006D4E15"/>
    <w:rsid w:val="006E58F8"/>
    <w:rsid w:val="00712292"/>
    <w:rsid w:val="0074306B"/>
    <w:rsid w:val="007558AD"/>
    <w:rsid w:val="0078081F"/>
    <w:rsid w:val="00791AEE"/>
    <w:rsid w:val="00796A37"/>
    <w:rsid w:val="007B1A12"/>
    <w:rsid w:val="007B428F"/>
    <w:rsid w:val="007F3C63"/>
    <w:rsid w:val="00807270"/>
    <w:rsid w:val="00837C21"/>
    <w:rsid w:val="0084501E"/>
    <w:rsid w:val="00851EEF"/>
    <w:rsid w:val="00853E74"/>
    <w:rsid w:val="00864544"/>
    <w:rsid w:val="00871746"/>
    <w:rsid w:val="00873B3D"/>
    <w:rsid w:val="008855C2"/>
    <w:rsid w:val="008B47A3"/>
    <w:rsid w:val="008B7EB4"/>
    <w:rsid w:val="008C6F9E"/>
    <w:rsid w:val="008D1208"/>
    <w:rsid w:val="008D2FDD"/>
    <w:rsid w:val="008D6B93"/>
    <w:rsid w:val="008E3588"/>
    <w:rsid w:val="008E7298"/>
    <w:rsid w:val="00922465"/>
    <w:rsid w:val="00962E18"/>
    <w:rsid w:val="009A1051"/>
    <w:rsid w:val="009F58CE"/>
    <w:rsid w:val="009F796E"/>
    <w:rsid w:val="00A062B2"/>
    <w:rsid w:val="00A24FFF"/>
    <w:rsid w:val="00A26A54"/>
    <w:rsid w:val="00A36B23"/>
    <w:rsid w:val="00A46480"/>
    <w:rsid w:val="00A562FC"/>
    <w:rsid w:val="00A6203C"/>
    <w:rsid w:val="00A97638"/>
    <w:rsid w:val="00AD2E0C"/>
    <w:rsid w:val="00AF0E2A"/>
    <w:rsid w:val="00AF5A4A"/>
    <w:rsid w:val="00B0434F"/>
    <w:rsid w:val="00B10E17"/>
    <w:rsid w:val="00B13BA6"/>
    <w:rsid w:val="00B3115D"/>
    <w:rsid w:val="00B609CA"/>
    <w:rsid w:val="00B77D64"/>
    <w:rsid w:val="00B81DBF"/>
    <w:rsid w:val="00BA1E64"/>
    <w:rsid w:val="00BB126D"/>
    <w:rsid w:val="00C63E19"/>
    <w:rsid w:val="00C66452"/>
    <w:rsid w:val="00C8345B"/>
    <w:rsid w:val="00C8689A"/>
    <w:rsid w:val="00C8746F"/>
    <w:rsid w:val="00C93422"/>
    <w:rsid w:val="00CB2401"/>
    <w:rsid w:val="00CC4705"/>
    <w:rsid w:val="00CD0878"/>
    <w:rsid w:val="00CD23EA"/>
    <w:rsid w:val="00CD7824"/>
    <w:rsid w:val="00CF5CCD"/>
    <w:rsid w:val="00D15A1C"/>
    <w:rsid w:val="00D17A02"/>
    <w:rsid w:val="00D40E65"/>
    <w:rsid w:val="00D458D3"/>
    <w:rsid w:val="00D51AFA"/>
    <w:rsid w:val="00D55653"/>
    <w:rsid w:val="00D740A9"/>
    <w:rsid w:val="00D7621E"/>
    <w:rsid w:val="00D81409"/>
    <w:rsid w:val="00DB2541"/>
    <w:rsid w:val="00DC40F0"/>
    <w:rsid w:val="00DD4F96"/>
    <w:rsid w:val="00DE5D68"/>
    <w:rsid w:val="00DF1FAA"/>
    <w:rsid w:val="00E125D3"/>
    <w:rsid w:val="00E256AE"/>
    <w:rsid w:val="00E27811"/>
    <w:rsid w:val="00E93362"/>
    <w:rsid w:val="00EE58E2"/>
    <w:rsid w:val="00EE6758"/>
    <w:rsid w:val="00F0623C"/>
    <w:rsid w:val="00F33D28"/>
    <w:rsid w:val="00F3668B"/>
    <w:rsid w:val="00F712E7"/>
    <w:rsid w:val="00F86310"/>
    <w:rsid w:val="00FB37D4"/>
    <w:rsid w:val="00FE0CF4"/>
    <w:rsid w:val="019341D1"/>
    <w:rsid w:val="024617F2"/>
    <w:rsid w:val="064D25BA"/>
    <w:rsid w:val="06E35526"/>
    <w:rsid w:val="08442153"/>
    <w:rsid w:val="0A487245"/>
    <w:rsid w:val="0E15476E"/>
    <w:rsid w:val="0E6B30B7"/>
    <w:rsid w:val="1144025F"/>
    <w:rsid w:val="12930099"/>
    <w:rsid w:val="12E110C3"/>
    <w:rsid w:val="134A00C8"/>
    <w:rsid w:val="160F71DC"/>
    <w:rsid w:val="17ADEC16"/>
    <w:rsid w:val="18705644"/>
    <w:rsid w:val="1CF471C0"/>
    <w:rsid w:val="1CF6335E"/>
    <w:rsid w:val="1D7E793F"/>
    <w:rsid w:val="1F5F30F1"/>
    <w:rsid w:val="210654D8"/>
    <w:rsid w:val="242C301F"/>
    <w:rsid w:val="258C3110"/>
    <w:rsid w:val="27FD6D50"/>
    <w:rsid w:val="28DF0589"/>
    <w:rsid w:val="2B225C7F"/>
    <w:rsid w:val="2D245472"/>
    <w:rsid w:val="2FAF39E5"/>
    <w:rsid w:val="2FE901BA"/>
    <w:rsid w:val="303137E6"/>
    <w:rsid w:val="325F7781"/>
    <w:rsid w:val="34D12D32"/>
    <w:rsid w:val="38307085"/>
    <w:rsid w:val="389E3F56"/>
    <w:rsid w:val="3B2B78B4"/>
    <w:rsid w:val="3B68371F"/>
    <w:rsid w:val="3BC60B80"/>
    <w:rsid w:val="3C653675"/>
    <w:rsid w:val="418A1B86"/>
    <w:rsid w:val="45C21642"/>
    <w:rsid w:val="46395A0C"/>
    <w:rsid w:val="4B4B6CAD"/>
    <w:rsid w:val="4C3457E4"/>
    <w:rsid w:val="4E180548"/>
    <w:rsid w:val="4EB57A80"/>
    <w:rsid w:val="5308133F"/>
    <w:rsid w:val="543857F2"/>
    <w:rsid w:val="57B74E52"/>
    <w:rsid w:val="57F70BA5"/>
    <w:rsid w:val="587D2699"/>
    <w:rsid w:val="5910550C"/>
    <w:rsid w:val="5AC130EE"/>
    <w:rsid w:val="5C3C540E"/>
    <w:rsid w:val="5C4F116D"/>
    <w:rsid w:val="5D867E6A"/>
    <w:rsid w:val="5FFFCDBC"/>
    <w:rsid w:val="61E33ADD"/>
    <w:rsid w:val="622163B3"/>
    <w:rsid w:val="6B3A251A"/>
    <w:rsid w:val="6DB70FBE"/>
    <w:rsid w:val="6EEE0FDA"/>
    <w:rsid w:val="6FE55C46"/>
    <w:rsid w:val="6FF65531"/>
    <w:rsid w:val="77BBCCD1"/>
    <w:rsid w:val="7CFF40B3"/>
    <w:rsid w:val="7EAD12A3"/>
    <w:rsid w:val="7F333E42"/>
    <w:rsid w:val="7F3E02A6"/>
    <w:rsid w:val="C77BDF4A"/>
    <w:rsid w:val="CFEB5773"/>
    <w:rsid w:val="D7BAC964"/>
    <w:rsid w:val="D979DD46"/>
    <w:rsid w:val="DF7F3A53"/>
    <w:rsid w:val="DFF63273"/>
    <w:rsid w:val="EC7FCF46"/>
    <w:rsid w:val="EF7FB8BC"/>
    <w:rsid w:val="EFE7F810"/>
    <w:rsid w:val="EFF7BC67"/>
    <w:rsid w:val="F5F42493"/>
    <w:rsid w:val="F7FB2F0F"/>
    <w:rsid w:val="FDB512A6"/>
    <w:rsid w:val="FDF76592"/>
    <w:rsid w:val="FFEF0CF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spacing w:val="-2"/>
      <w:kern w:val="2"/>
      <w:sz w:val="32"/>
      <w:lang w:val="en-US" w:eastAsia="zh-CN" w:bidi="ar-SA"/>
    </w:rPr>
  </w:style>
  <w:style w:type="character" w:default="1" w:styleId="6">
    <w:name w:val="Default Paragraph Font"/>
    <w:qFormat/>
    <w:uiPriority w:val="0"/>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28"/>
      <w:szCs w:val="28"/>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1955</Words>
  <Characters>2035</Characters>
  <Lines>508</Lines>
  <Paragraphs>189</Paragraphs>
  <TotalTime>1</TotalTime>
  <ScaleCrop>false</ScaleCrop>
  <LinksUpToDate>false</LinksUpToDate>
  <CharactersWithSpaces>3801</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2021-08-21T06:28:00Z</dcterms:created>
  <dc:creator>郭瑜</dc:creator>
  <cp:lastModifiedBy>user</cp:lastModifiedBy>
  <cp:lastPrinted>2018-08-05T10:01:00Z</cp:lastPrinted>
  <dcterms:modified xsi:type="dcterms:W3CDTF">2026-01-04T17:12:08Z</dcterms:modified>
  <dc:title>海南省第三届运动会乒乓球竞赛规程</dc:title>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06DFD83B6BAC40D5B0C5E0BFA0CFF1DA_13</vt:lpwstr>
  </property>
  <property fmtid="{D5CDD505-2E9C-101B-9397-08002B2CF9AE}" pid="4" name="KSOTemplateDocerSaveRecord">
    <vt:lpwstr>eyJoZGlkIjoiN2YzNjBkOTgyNWQ1YTMxYzM3MzMwNWFiODNmOWIzYWMifQ==</vt:lpwstr>
  </property>
</Properties>
</file>