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ordWrap/>
        <w:overflowPunct/>
        <w:topLinePunct w:val="0"/>
        <w:autoSpaceDN w:val="0"/>
        <w:bidi w:val="0"/>
        <w:spacing w:before="79" w:line="560" w:lineRule="exact"/>
        <w:jc w:val="left"/>
        <w:outlineLvl w:val="0"/>
        <w:rPr>
          <w:rFonts w:hint="eastAsia" w:ascii="黑体" w:hAnsi="黑体" w:eastAsia="黑体" w:cs="黑体"/>
          <w:b w:val="0"/>
          <w:bCs w:val="0"/>
          <w:spacing w:val="-1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pacing w:val="-1"/>
          <w:sz w:val="32"/>
          <w:szCs w:val="32"/>
          <w:lang w:val="en-US" w:eastAsia="zh-CN"/>
        </w:rPr>
        <w:t>附件18</w:t>
      </w:r>
    </w:p>
    <w:p>
      <w:pPr>
        <w:keepNext w:val="0"/>
        <w:keepLines w:val="0"/>
        <w:pageBreakBefore w:val="0"/>
        <w:wordWrap/>
        <w:overflowPunct/>
        <w:topLinePunct w:val="0"/>
        <w:autoSpaceDN w:val="0"/>
        <w:bidi w:val="0"/>
        <w:spacing w:before="79" w:line="560" w:lineRule="exact"/>
        <w:jc w:val="left"/>
        <w:outlineLvl w:val="0"/>
        <w:rPr>
          <w:rFonts w:hint="eastAsia" w:ascii="仿宋_GB2312" w:hAnsi="仿宋_GB2312" w:eastAsia="仿宋_GB2312" w:cs="仿宋_GB2312"/>
          <w:b w:val="0"/>
          <w:bCs w:val="0"/>
          <w:spacing w:val="-1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ordWrap/>
        <w:overflowPunct/>
        <w:topLinePunct w:val="0"/>
        <w:autoSpaceDN w:val="0"/>
        <w:bidi w:val="0"/>
        <w:spacing w:before="79" w:line="56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"/>
          <w:sz w:val="44"/>
          <w:szCs w:val="44"/>
          <w:lang w:val="en-US" w:eastAsia="zh-CN"/>
        </w:rPr>
        <w:t>海南省第七届运动会射箭比赛竞赛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"/>
          <w:sz w:val="44"/>
          <w:szCs w:val="44"/>
        </w:rPr>
        <w:t>规程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autoSpaceDN w:val="0"/>
        <w:bidi w:val="0"/>
        <w:spacing w:line="560" w:lineRule="exact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黑体" w:hAnsi="黑体" w:eastAsia="黑体" w:cs="黑体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黑体" w:hAnsi="黑体" w:eastAsia="黑体" w:cs="黑体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一、竞赛日期和地点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（一）时间：</w:t>
      </w: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Hans"/>
        </w:rPr>
        <w:t>202</w:t>
      </w: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Hans"/>
        </w:rPr>
        <w:t>年8月</w:t>
      </w: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（具体时间待定）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（二）地点</w:t>
      </w: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：琼海</w:t>
      </w: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Hans"/>
        </w:rPr>
        <w:t>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黑体" w:hAnsi="黑体" w:eastAsia="黑体" w:cs="黑体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黑体" w:hAnsi="黑体" w:eastAsia="黑体" w:cs="黑体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二、竞赛项目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（一）男子竞技反曲弓甲组（U18）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1.男子个人单轮全能（70米、70米、50米、30米）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2.男子个人淘汰赛、决赛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（二）女子竞技反曲弓甲组（U18）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1.女子个人单轮全能（70米、60米、50米、30 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2.女子个人淘汰赛、决赛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（三）男子竞技反曲弓乙组（U14）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1.男子个人双轮（30米）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2.男子个人淘汰赛、决赛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（四）女子竞技反曲弓乙组（U14）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1.女子个人双轮（30米）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2.女子个人淘汰赛、决赛</w:t>
      </w:r>
    </w:p>
    <w:p>
      <w:pPr>
        <w:pStyle w:val="5"/>
        <w:widowControl/>
        <w:spacing w:beforeAutospacing="0" w:afterAutospacing="0" w:line="560" w:lineRule="exact"/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sz w:val="32"/>
          <w:szCs w:val="32"/>
          <w:shd w:val="clear" w:color="auto" w:fill="FFFFFF"/>
          <w:lang w:eastAsia="zh-CN"/>
        </w:rPr>
        <w:t>三、</w:t>
      </w:r>
      <w:r>
        <w:rPr>
          <w:rFonts w:hint="eastAsia" w:ascii="黑体" w:hAnsi="黑体" w:eastAsia="黑体" w:cs="黑体"/>
          <w:bCs/>
          <w:sz w:val="32"/>
          <w:szCs w:val="32"/>
        </w:rPr>
        <w:t>参加单位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各市、县、自治县人民政府组队参赛。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黑体" w:hAnsi="黑体" w:eastAsia="黑体" w:cs="黑体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黑体" w:hAnsi="黑体" w:eastAsia="黑体" w:cs="黑体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四、运动员资格</w:t>
      </w:r>
    </w:p>
    <w:p>
      <w:pPr>
        <w:spacing w:line="560" w:lineRule="exact"/>
        <w:ind w:firstLine="632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2025年12月31日前取得海南省正式户籍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/>
        </w:rPr>
        <w:t>或学籍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。</w:t>
      </w:r>
    </w:p>
    <w:p>
      <w:pPr>
        <w:spacing w:line="560" w:lineRule="exact"/>
        <w:ind w:firstLine="632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（二）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须符合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《海南省运动员注册与交流管理办法（试行）》（琼旅文办函〔20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341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号）等有关规定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，并于2026年1月31日前向海南省旅游和文化广电体育厅办理注册，不注册者不予参赛。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firstLine="63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（三）年龄规定：2008年1月1日及以后出生可参加甲组的比赛，2012年1月1日及以后出生可参加乙组的比赛。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（四）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</w:rPr>
        <w:t>运动员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经县级以上人民医院或二级甲等以上医院检查证明身体健康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</w:rPr>
        <w:t>，报名表须有体育主管部门和医务部门盖章。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（五）未经省旅文厅同意输送到其他省、区、市的海南籍运动员或已代表外省(市、自治区)在体育总局注册的运动员不能参赛。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（六）各单位应为参赛运动员购买比赛期间相应的人身意外伤害保险。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黑体" w:hAnsi="黑体" w:eastAsia="黑体" w:cs="黑体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黑体" w:hAnsi="黑体" w:eastAsia="黑体" w:cs="黑体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五、参加办法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（一）每单位限报男、女运动员各8人参加个人项目比赛。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（二）每队官员数不限，但为了保证比赛内场的整洁秩序，在内场进行比赛指导的官员数不得超过本队运动员数的一半。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（三）报名不足4队，则取消比赛；赛前技术会议上确认小项参赛不足4队（人）,则合并组别或取消该小项比赛。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（四）运动员已报项目不得无故弃权，确实因伤、病不能 参赛者，必须提交县级以上医院检查证明，并按该项目竞赛规程有关条款执行。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（五）所有参赛人员需按照《比赛告知书》和《赛风赛纪和反兴奋剂规定》要求参赛。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黑体" w:hAnsi="黑体" w:eastAsia="黑体" w:cs="黑体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黑体" w:hAnsi="黑体" w:eastAsia="黑体" w:cs="黑体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六、竞赛办法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（一）执行中国射箭协会审定的最新规则。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（二）比赛服装。每队必须至少有两套不同颜色运动服，背后印有射箭队全称或简称，运动员中文或英文姓名。服装不符合《射箭规则》规定的服装规范者不得上场比赛。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（三）运动员赛前必须出示本人注册证和二代身份证才能参加比赛。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（四）杜绝冒名顶替等弄虚作假现象，一经发现，将取运动队比赛资格。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黑体" w:hAnsi="黑体" w:eastAsia="黑体" w:cs="黑体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黑体" w:hAnsi="黑体" w:eastAsia="黑体" w:cs="黑体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七、竞赛器材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（一）靶纸规格：70米和60米使用122厘米靶纸（注：显示1-10环记分区）；50米和30米射程使用80厘米6环靶纸（注：显示5-10环记分区）。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（二）必须使用符合中国射箭协会规则的电子计时计分设备、箭靶及中国射箭协会审定的靶纸（A级及以上）。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黑体" w:hAnsi="黑体" w:eastAsia="黑体" w:cs="黑体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黑体" w:hAnsi="黑体" w:eastAsia="黑体" w:cs="黑体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八、录取名次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（一）比赛录取个人淘汰赛前八名，第一至三名颁发奖牌及证书，第四至八名颁发证书。报名参赛队（人）数不足8个的，按参赛队（人） 减2录取奖励。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（二）设体育道德风尚奖。其评选办法和要求，按有关规定执行。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（三）根据国家体育总局运动员技术等级管理办法的相关规定，对应小项成绩达到方可授予技术等级称号。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黑体" w:hAnsi="黑体" w:eastAsia="黑体" w:cs="黑体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黑体" w:hAnsi="黑体" w:eastAsia="黑体" w:cs="黑体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九、报名和报到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（一）报名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参赛单位须于2026年 月 日前在省运会报名系统上（以补充通知为准）按相关要求报名;并须在报名期内将报名表打印一式二份，加盖单位公章后用EMS（中国邮政速递）分别寄到省旅文厅竞体处（联系人：万俊峰，电话：13707521960，海口市白龙南路43号）和琼海市旅文局（联系人：符式兴，电话：13976328852，琼海市南门二路5号）。报名截止日后，系统将自动关闭，不再受理报名；逾期或不提交纸质报名表者，视为报名未确认，不予安排比赛。所有材料必须电脑打印，手写无效，报名后不得随意更改报名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（二）报到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1.各运动队于2026年 月 日（以补充通知为准）到赛区报到。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2.各队报到时交纳保证金2000元人民币（各队参赛中无严重违纪行为，赛后退回）。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3.食宿由大会统一安排。运动队编内人员食宿费每人每天1</w:t>
      </w: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" w:eastAsia="zh-CN"/>
        </w:rPr>
        <w:t>5</w:t>
      </w: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0元，不足部分由大会负责；参赛人员往返差旅费自理；超编人员费用自理。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4.报到时运动队须提交健康证明（县级以上医院证明），运动员人身意外伤害保险复印件，证件不齐者不予参赛。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5.裁判员等技术官员食宿、交通费用由组委会负责，于2026年 月 日（以补充通知为准）到赛区报到（裁判员携带证书、证章）。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十、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技术官员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裁判员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等技术官员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申诉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委员会由海南省旅游和文化广电体育厅统一选派。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黑体" w:hAnsi="黑体" w:eastAsia="黑体" w:cs="黑体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十一、注意事项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（一）实行兴奋剂抽查，检查和处罚按照国家体育总局、中国奥委会反兴奋剂委员会和海南省的有关规定执行。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（二）性别检查将根据国际组织有关规定，按照必需和必要的原则进行。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32" w:firstLineChars="200"/>
        <w:jc w:val="left"/>
        <w:textAlignment w:val="auto"/>
        <w:outlineLvl w:val="9"/>
        <w:rPr>
          <w:rFonts w:hint="eastAsia" w:ascii="黑体" w:hAnsi="黑体" w:eastAsia="黑体" w:cs="黑体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黑体" w:hAnsi="黑体" w:eastAsia="黑体" w:cs="黑体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十二、本规程解释权属海南省旅游和文化广电体育厅。未尽事宜，另行通知。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/>
        <w:jc w:val="left"/>
        <w:textAlignment w:val="auto"/>
        <w:outlineLvl w:val="9"/>
        <w:rPr>
          <w:rFonts w:hint="eastAsia" w:ascii="黑体" w:hAnsi="黑体" w:eastAsia="黑体" w:cs="黑体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/>
        <w:jc w:val="left"/>
        <w:textAlignment w:val="auto"/>
        <w:outlineLvl w:val="9"/>
        <w:rPr>
          <w:rFonts w:hint="eastAsia" w:ascii="黑体" w:hAnsi="黑体" w:eastAsia="黑体" w:cs="黑体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/>
        <w:jc w:val="left"/>
        <w:textAlignment w:val="auto"/>
        <w:outlineLvl w:val="9"/>
        <w:rPr>
          <w:rFonts w:hint="eastAsia" w:ascii="黑体" w:hAnsi="黑体" w:eastAsia="黑体" w:cs="黑体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/>
        <w:jc w:val="left"/>
        <w:textAlignment w:val="auto"/>
        <w:outlineLvl w:val="9"/>
        <w:rPr>
          <w:rFonts w:hint="eastAsia" w:ascii="黑体" w:hAnsi="黑体" w:eastAsia="黑体" w:cs="黑体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/>
        <w:jc w:val="left"/>
        <w:textAlignment w:val="auto"/>
        <w:outlineLvl w:val="9"/>
        <w:rPr>
          <w:rFonts w:hint="eastAsia" w:ascii="黑体" w:hAnsi="黑体" w:eastAsia="黑体" w:cs="黑体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/>
        <w:jc w:val="left"/>
        <w:textAlignment w:val="auto"/>
        <w:outlineLvl w:val="9"/>
        <w:rPr>
          <w:rFonts w:hint="eastAsia" w:ascii="黑体" w:hAnsi="黑体" w:eastAsia="黑体" w:cs="黑体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/>
        <w:jc w:val="left"/>
        <w:textAlignment w:val="auto"/>
        <w:outlineLvl w:val="9"/>
        <w:rPr>
          <w:rFonts w:hint="eastAsia" w:ascii="黑体" w:hAnsi="黑体" w:eastAsia="黑体" w:cs="黑体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/>
        <w:jc w:val="left"/>
        <w:textAlignment w:val="auto"/>
        <w:outlineLvl w:val="9"/>
        <w:rPr>
          <w:rFonts w:hint="eastAsia" w:ascii="黑体" w:hAnsi="黑体" w:eastAsia="黑体" w:cs="黑体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/>
        <w:jc w:val="left"/>
        <w:textAlignment w:val="auto"/>
        <w:outlineLvl w:val="9"/>
        <w:rPr>
          <w:rFonts w:hint="eastAsia" w:ascii="黑体" w:hAnsi="黑体" w:eastAsia="黑体" w:cs="黑体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/>
        <w:jc w:val="left"/>
        <w:textAlignment w:val="auto"/>
        <w:outlineLvl w:val="9"/>
        <w:rPr>
          <w:rFonts w:hint="eastAsia" w:ascii="黑体" w:hAnsi="黑体" w:eastAsia="黑体" w:cs="黑体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/>
        <w:jc w:val="left"/>
        <w:textAlignment w:val="auto"/>
        <w:outlineLvl w:val="9"/>
        <w:rPr>
          <w:rFonts w:hint="eastAsia" w:ascii="黑体" w:hAnsi="黑体" w:eastAsia="黑体" w:cs="黑体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/>
        <w:jc w:val="left"/>
        <w:textAlignment w:val="auto"/>
        <w:outlineLvl w:val="9"/>
        <w:rPr>
          <w:rFonts w:hint="eastAsia" w:ascii="黑体" w:hAnsi="黑体" w:eastAsia="黑体" w:cs="黑体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黑体" w:hAnsi="黑体" w:eastAsia="黑体" w:cs="黑体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880" w:firstLineChars="20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i w:val="0"/>
          <w:iCs w:val="0"/>
          <w:snapToGrid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snapToGrid w:val="0"/>
          <w:color w:val="000000"/>
          <w:kern w:val="0"/>
          <w:sz w:val="44"/>
          <w:szCs w:val="44"/>
          <w:u w:val="none"/>
          <w:lang w:val="en-US" w:eastAsia="zh-CN" w:bidi="ar"/>
        </w:rPr>
        <w:t>海南省第七届运动会射箭比赛报名表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 xml:space="preserve">代表队名称(市县体育部门盖章): </w:t>
      </w:r>
      <w:r>
        <w:rPr>
          <w:rFonts w:hint="eastAsia" w:ascii="仿宋_GB2312" w:hAnsi="宋体" w:eastAsia="仿宋_GB2312" w:cs="宋体"/>
          <w:color w:val="000000"/>
          <w:sz w:val="28"/>
          <w:szCs w:val="28"/>
          <w:u w:val="single"/>
        </w:rPr>
        <w:t xml:space="preserve">                       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领队:</w:t>
      </w:r>
      <w:r>
        <w:rPr>
          <w:rFonts w:hint="eastAsia" w:ascii="仿宋_GB2312" w:hAnsi="宋体" w:eastAsia="仿宋_GB2312" w:cs="宋体"/>
          <w:color w:val="000000"/>
          <w:sz w:val="28"/>
          <w:szCs w:val="28"/>
          <w:u w:val="single"/>
        </w:rPr>
        <w:t xml:space="preserve">            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 xml:space="preserve"> 联系电话:</w:t>
      </w:r>
      <w:r>
        <w:rPr>
          <w:rFonts w:hint="eastAsia" w:ascii="仿宋_GB2312" w:hAnsi="宋体" w:eastAsia="仿宋_GB2312" w:cs="宋体"/>
          <w:color w:val="000000"/>
          <w:sz w:val="28"/>
          <w:szCs w:val="28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教练1:</w:t>
      </w:r>
      <w:r>
        <w:rPr>
          <w:rFonts w:hint="eastAsia" w:ascii="仿宋_GB2312" w:hAnsi="宋体" w:eastAsia="仿宋_GB2312" w:cs="宋体"/>
          <w:color w:val="000000"/>
          <w:sz w:val="28"/>
          <w:szCs w:val="28"/>
          <w:u w:val="single"/>
        </w:rPr>
        <w:t xml:space="preserve">           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电话:</w:t>
      </w:r>
      <w:r>
        <w:rPr>
          <w:rFonts w:hint="eastAsia" w:ascii="仿宋_GB2312" w:hAnsi="宋体" w:eastAsia="仿宋_GB2312" w:cs="宋体"/>
          <w:color w:val="000000"/>
          <w:sz w:val="28"/>
          <w:szCs w:val="28"/>
          <w:u w:val="single"/>
        </w:rPr>
        <w:t xml:space="preserve">             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教练2:</w:t>
      </w:r>
      <w:r>
        <w:rPr>
          <w:rFonts w:hint="eastAsia" w:ascii="仿宋_GB2312" w:hAnsi="宋体" w:eastAsia="仿宋_GB2312" w:cs="宋体"/>
          <w:color w:val="000000"/>
          <w:sz w:val="28"/>
          <w:szCs w:val="28"/>
          <w:u w:val="single"/>
        </w:rPr>
        <w:t xml:space="preserve">           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电话:</w:t>
      </w:r>
      <w:r>
        <w:rPr>
          <w:rFonts w:hint="eastAsia" w:ascii="仿宋_GB2312" w:hAnsi="宋体" w:eastAsia="仿宋_GB2312" w:cs="宋体"/>
          <w:color w:val="000000"/>
          <w:sz w:val="28"/>
          <w:szCs w:val="28"/>
          <w:u w:val="single"/>
        </w:rPr>
        <w:t xml:space="preserve">             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宋体" w:eastAsia="仿宋_GB2312" w:cs="宋体"/>
          <w:color w:val="000000"/>
          <w:sz w:val="28"/>
          <w:szCs w:val="28"/>
          <w:u w:val="single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  <w:lang w:val="en-US" w:eastAsia="zh-CN"/>
        </w:rPr>
        <w:t xml:space="preserve">联系人：          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电话:</w:t>
      </w:r>
      <w:r>
        <w:rPr>
          <w:rFonts w:hint="eastAsia" w:ascii="仿宋_GB2312" w:hAnsi="宋体" w:eastAsia="仿宋_GB2312" w:cs="宋体"/>
          <w:color w:val="000000"/>
          <w:sz w:val="28"/>
          <w:szCs w:val="28"/>
          <w:u w:val="single"/>
        </w:rPr>
        <w:t xml:space="preserve">             </w:t>
      </w:r>
      <w:r>
        <w:rPr>
          <w:rFonts w:hint="eastAsia" w:ascii="仿宋_GB2312" w:hAnsi="宋体" w:eastAsia="仿宋_GB2312" w:cs="宋体"/>
          <w:color w:val="000000"/>
          <w:sz w:val="28"/>
          <w:szCs w:val="28"/>
          <w:lang w:val="en-US" w:eastAsia="zh-CN"/>
        </w:rPr>
        <w:t xml:space="preserve"> </w:t>
      </w:r>
    </w:p>
    <w:tbl>
      <w:tblPr>
        <w:tblStyle w:val="6"/>
        <w:tblW w:w="94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2"/>
        <w:gridCol w:w="869"/>
        <w:gridCol w:w="1514"/>
        <w:gridCol w:w="1590"/>
        <w:gridCol w:w="1904"/>
        <w:gridCol w:w="1574"/>
        <w:gridCol w:w="10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人员类别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竞赛项目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28"/>
          <w:szCs w:val="28"/>
          <w:highlight w:val="none"/>
          <w:lang w:val="en-US" w:eastAsia="zh-CN"/>
        </w:rPr>
        <w:t>填写说明：</w:t>
      </w: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28"/>
          <w:szCs w:val="28"/>
          <w:highlight w:val="none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28"/>
          <w:szCs w:val="28"/>
          <w:highlight w:val="none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28"/>
          <w:szCs w:val="28"/>
          <w:highlight w:val="none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28"/>
          <w:szCs w:val="28"/>
          <w:highlight w:val="non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28"/>
          <w:szCs w:val="28"/>
          <w:highlight w:val="none"/>
          <w:lang w:val="en-US" w:eastAsia="zh-CN"/>
        </w:rPr>
        <w:t>人员类别：领队、教练、运动员</w:t>
      </w: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28"/>
          <w:szCs w:val="28"/>
          <w:highlight w:val="none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28"/>
          <w:szCs w:val="28"/>
          <w:highlight w:val="none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28"/>
          <w:szCs w:val="28"/>
          <w:highlight w:val="none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28"/>
          <w:szCs w:val="28"/>
          <w:highlight w:val="non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28"/>
          <w:szCs w:val="28"/>
          <w:highlight w:val="none"/>
          <w:lang w:val="en-US" w:eastAsia="zh-CN"/>
        </w:rPr>
        <w:t>竞赛项目：U18男子组、U18女子组、U14男子、U14女子组</w:t>
      </w:r>
      <w:r>
        <w:rPr>
          <w:rFonts w:hint="eastAsia" w:ascii="仿宋_GB2312" w:hAnsi="仿宋_GB2312" w:eastAsia="仿宋_GB2312" w:cs="仿宋_GB2312"/>
          <w:snapToGrid/>
          <w:color w:val="auto"/>
          <w:spacing w:val="-2"/>
          <w:kern w:val="2"/>
          <w:sz w:val="32"/>
          <w:szCs w:val="20"/>
          <w:highlight w:val="none"/>
          <w:lang w:val="en-US" w:eastAsia="zh-CN"/>
        </w:rPr>
        <w:tab/>
      </w:r>
    </w:p>
    <w:sectPr>
      <w:footerReference r:id="rId5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roman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5" w:lineRule="auto"/>
      <w:ind w:left="3947"/>
      <w:rPr>
        <w:rFonts w:ascii="等线" w:hAnsi="等线" w:eastAsia="等线" w:cs="等线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JIJGtD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3YmExZTVlMjMyNGMxNTkxZGRjZjA5M2MyNTAxN2QifQ=="/>
  </w:docVars>
  <w:rsids>
    <w:rsidRoot w:val="00000000"/>
    <w:rsid w:val="063707FB"/>
    <w:rsid w:val="0ECB3BE9"/>
    <w:rsid w:val="18610CDC"/>
    <w:rsid w:val="1DEFB894"/>
    <w:rsid w:val="1E426EBA"/>
    <w:rsid w:val="20C85ECA"/>
    <w:rsid w:val="227A7ED4"/>
    <w:rsid w:val="2F3F24E0"/>
    <w:rsid w:val="2FFE25ED"/>
    <w:rsid w:val="30CC6E47"/>
    <w:rsid w:val="37BF8E96"/>
    <w:rsid w:val="46E44703"/>
    <w:rsid w:val="493D7997"/>
    <w:rsid w:val="4C9B4F63"/>
    <w:rsid w:val="4EB32E0E"/>
    <w:rsid w:val="4EDE4131"/>
    <w:rsid w:val="543319E0"/>
    <w:rsid w:val="5BAB2769"/>
    <w:rsid w:val="5E361890"/>
    <w:rsid w:val="5F2E1492"/>
    <w:rsid w:val="5FEBA60A"/>
    <w:rsid w:val="63077F0F"/>
    <w:rsid w:val="69470DF5"/>
    <w:rsid w:val="69FC11BD"/>
    <w:rsid w:val="6DAB72BA"/>
    <w:rsid w:val="6EBC36EB"/>
    <w:rsid w:val="6EE9DE77"/>
    <w:rsid w:val="6F9DD142"/>
    <w:rsid w:val="74852F25"/>
    <w:rsid w:val="74F7F06A"/>
    <w:rsid w:val="79F78458"/>
    <w:rsid w:val="7B5605F5"/>
    <w:rsid w:val="7BB75145"/>
    <w:rsid w:val="7D7CE801"/>
    <w:rsid w:val="7DD5958D"/>
    <w:rsid w:val="7DFB7233"/>
    <w:rsid w:val="7F046AD6"/>
    <w:rsid w:val="7F1DCCCD"/>
    <w:rsid w:val="7FDF2E88"/>
    <w:rsid w:val="7FEE1E56"/>
    <w:rsid w:val="7FEF07F0"/>
    <w:rsid w:val="7FFDE925"/>
    <w:rsid w:val="8EEC95B0"/>
    <w:rsid w:val="AFED6162"/>
    <w:rsid w:val="B7B8E438"/>
    <w:rsid w:val="BE7BB477"/>
    <w:rsid w:val="BEFD6D14"/>
    <w:rsid w:val="CB7C780E"/>
    <w:rsid w:val="CFEE5550"/>
    <w:rsid w:val="CFFFAFA8"/>
    <w:rsid w:val="D3F7E7E2"/>
    <w:rsid w:val="E87F2F3F"/>
    <w:rsid w:val="EBED7085"/>
    <w:rsid w:val="EFF5300B"/>
    <w:rsid w:val="EFFFD277"/>
    <w:rsid w:val="F35DCEA2"/>
    <w:rsid w:val="F3F5A386"/>
    <w:rsid w:val="F5BF01CF"/>
    <w:rsid w:val="F7FDF741"/>
    <w:rsid w:val="FC4B5A12"/>
    <w:rsid w:val="FEAB2036"/>
    <w:rsid w:val="FF6FBCF1"/>
    <w:rsid w:val="FFBB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980</Words>
  <Characters>1031</Characters>
  <Lines>0</Lines>
  <Paragraphs>0</Paragraphs>
  <TotalTime>0</TotalTime>
  <ScaleCrop>false</ScaleCrop>
  <LinksUpToDate>false</LinksUpToDate>
  <CharactersWithSpaces>1054</CharactersWithSpaces>
  <Application>WPS Office_11.8.2.12275_F1E327BC-269C-435d-A152-05C5408002CA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2025-04-13T13:50:00Z</dcterms:created>
  <dc:creator>ischool</dc:creator>
  <cp:lastModifiedBy>user</cp:lastModifiedBy>
  <dcterms:modified xsi:type="dcterms:W3CDTF">2026-01-04T17:17:22Z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2052-11.8.2.12275</vt:lpwstr>
  </property>
  <property fmtid="{D5CDD505-2E9C-101B-9397-08002B2CF9AE}" pid="3" name="KSOTemplateDocerSaveRecord">
    <vt:lpwstr>eyJoZGlkIjoiNjAwNTkxNWEyZjEwMjYxYTMxYzQ2NmQ3ZWI5MmM3N2QiLCJ1c2VySWQiOiIyMjMwNjg3MTYifQ==</vt:lpwstr>
  </property>
  <property fmtid="{D5CDD505-2E9C-101B-9397-08002B2CF9AE}" pid="4" name="ICV">
    <vt:lpwstr>94F9B9FA89BD4106880E446EB56C1DD0_12</vt:lpwstr>
  </property>
</Properties>
</file>