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baseline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baseline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海南省第</w:t>
      </w:r>
      <w:r>
        <w:rPr>
          <w:rFonts w:hint="eastAsia" w:eastAsia="方正小标宋简体" w:cs="Times New Roman"/>
          <w:b w:val="0"/>
          <w:bCs/>
          <w:sz w:val="44"/>
          <w:szCs w:val="44"/>
          <w:lang w:eastAsia="zh-CN"/>
        </w:rPr>
        <w:t>七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届运动会田径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竞赛规程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baseline"/>
        <w:outlineLvl w:val="9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44"/>
          <w:szCs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  <w:t>一、竞赛日期和地点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2026年8月（具体时间待定）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地点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琼海市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baseline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eastAsia" w:eastAsia="黑体" w:cs="Times New Roman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、参加单位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各市、县、自治县人民政府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组队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参赛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baseline"/>
        <w:outlineLvl w:val="9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Fonts w:hint="eastAsia" w:eastAsia="黑体" w:cs="Times New Roman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  <w:t>、竞赛项目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（一）男子组（28项）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青年男子U20组（18、19岁）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：100米、200米、400米、800米、1500米、110米栏（栏高0.991米，栏间距9.14米）、400米栏（栏高0.914米）、跳远、标枪（800g）、铅球（6kg）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少年男子U18组（16、17岁）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：100米、200米、400米、800米、1500米、110米栏（栏高0.914米，栏间距9.14米）、400米栏（栏高0.838米）、跳远、三级跳远(11米板)、标枪、铅球、七项全能(110米栏、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00米、1500米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标枪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、铁饼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、跳高、跳远)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少年男子U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组（14、15岁）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：100米、200米、400米、800米、1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0米栏（栏高0.914米，栏间距8.7米）、跳远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（二）女子组（29项）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青年女子U20组（18、19岁）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：100米、200米、400米、800米、1500米、100米栏（栏高0.838米，栏间距8.50米）、400米栏（栏高0.762米）、跳远、标枪（600g）、铅球（4kg）、七项全能（100米栏、跳高、铅球、200米、跳远、标枪和800米）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少年女子U18组（16、17岁）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：100米、200米、400米、800米、1500米、100米栏（栏高0.762米，栏间距8.50米）、400米栏（栏高0.762米）、跳远、三级跳远(9米板)、标枪（500g）、铅球（3kg）、五项全能（100米栏、铅球、跳高、跳远、800米）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少年女子U18乙组（14、15岁）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：100米、200米、400米、800米、100米栏（栏高0.762米，栏间距8米）、跳远、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（三）接力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项目（10项）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青年男子U20组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4X100米接力；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子U20组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4X100米接力。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少年男子U18组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4X100米接力、4X400米接力；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少年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子U18组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4X100米接力、4X400米接力。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3.U18组4X400米混合接力。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少年男子U1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4X100米接力；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少年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子U1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4X100米接力。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5.U16组4X400米混合接力。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四、参加办法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480" w:firstLineChars="15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</w:rPr>
        <w:t>（一）年龄分组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青年U20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男、女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组（18、19岁）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年1月1日至200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年12月31日出生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少年U18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男、女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组（16、17岁）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年1月1日至20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年12月31日出生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少年U1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男、女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组（14、15岁）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日至20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年12月31日出生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480" w:firstLineChars="15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</w:rPr>
        <w:t>（二）参赛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lang w:eastAsia="zh-CN"/>
        </w:rPr>
        <w:t>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各市、县、自治县人民政府，以及各级田径协会可报领队1人，教练员按运动员总数1：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比例配备（尾数不足按四舍五入计算），超出部分为编外。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6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组别男、女运动员可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各报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参赛；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每单位每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每项限报3人，每人限报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项（不含接力）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；每个组别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每个接力项目男女各限报1队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;混合接力U18组、U16组各限报1队。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6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每一名运动员只能参加一个组别的比赛，不能跨组别和跨年龄参赛。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outlineLvl w:val="9"/>
        <w:rPr>
          <w:rFonts w:hint="eastAsia" w:ascii="Times New Roman" w:hAnsi="Times New Roman" w:eastAsia="楷体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 xml:space="preserve"> （三）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eastAsia="zh-CN"/>
        </w:rPr>
        <w:t>参赛资格</w:t>
      </w:r>
      <w:r>
        <w:rPr>
          <w:rFonts w:hint="eastAsia" w:eastAsia="楷体_GB2312" w:cs="Times New Roman"/>
          <w:color w:val="auto"/>
          <w:sz w:val="32"/>
          <w:szCs w:val="32"/>
          <w:lang w:eastAsia="zh-CN"/>
        </w:rPr>
        <w:t>与资格审查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1.按照《海南省第七届运动会竞赛规程总则》第四条有关规定执行。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2.2025年12月31日前取得海南省正式户籍或学籍。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须符合《海南省运动员注册与交流管理办法（试行）》（琼旅文办函〔2025〕341号）等有关规定，并于2025年12月1日至2026年1月31日向省旅文厅办理注册，不注册者不予参赛。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baseline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五、竞赛办法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执行国家体育总局审定的最新田径竞赛规则。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检录时，运动员必须出示本人注册证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及有效身份证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，否则不能参加比赛。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（三）运动员比赛所佩带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号码布由赛区统一制作提供。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）运动员比赛必须身着印有本单位名称的统一比赛服装（背心、短裤）且必须符合中国田径协会有关比赛服装的规定，参加接力比赛时须穿着本队统一的服装，否则不允许比赛。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）比赛所用器材，均由赛会组委会提供经中国田径协会审定通过的器材。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已报名参赛的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运动员不得无故弃权（包括不认真参加比赛）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无故弃权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者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不得参加后续其他项目的比赛。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确实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因伤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病或特殊原因不能参赛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者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，需提供有效证明。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outlineLvl w:val="9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  <w:t>六、录取名次、奖励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各单项按名次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录取前八名，第一至三名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运动员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颁发金、银、铜牌及获奖证书，第四至八名颁发获奖证书。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计分方法：单项按9、7、6、5、4、3、2、1计分，全能项目和接力计分加倍（计入代表团总分仍然按单倍计分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）。</w:t>
      </w:r>
      <w:r>
        <w:rPr>
          <w:rFonts w:hint="eastAsia" w:ascii="仿宋_GB2312" w:hAnsi="仿宋_GB2312" w:eastAsia="仿宋_GB2312" w:cs="仿宋_GB2312"/>
          <w:color w:val="auto"/>
          <w:spacing w:val="-15"/>
          <w:sz w:val="32"/>
          <w:szCs w:val="32"/>
          <w:highlight w:val="none"/>
        </w:rPr>
        <w:t>若比赛名次并列时，将名次并列的下一个或几个名次空出，其相应分值之和的平均数，作为并列名次所得分值</w:t>
      </w:r>
      <w:r>
        <w:rPr>
          <w:rFonts w:hint="eastAsia" w:ascii="仿宋_GB2312" w:hAnsi="仿宋_GB2312" w:eastAsia="仿宋_GB2312" w:cs="仿宋_GB2312"/>
          <w:color w:val="auto"/>
          <w:spacing w:val="-15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如报名以及赛前技术会议上确认参赛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人数只有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4-8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人（队）时，按报名以及赛前技术会议上确认参赛人数（队）减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录取，但仍按以上方法计分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报名以及赛前技术会议上确认参赛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人数只有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队）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以下时，不进行比赛，可通知改报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项目（原则上以报名为准，调整后以报名和调整后人数相结合）。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每创一项省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青少年田径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纪录加计9分，创一项全国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青少年田径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纪录加计18分。一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名运动员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在同一个项目比赛中多次创纪录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按最高一次记录加计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。在全能比赛中，创全能纪录戓创多个单项纪录，只加其一项最高分。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U20组、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U18组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U1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组得分之和排列团体总分名次，如总分相等，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则依次按创全国青少年田径纪录、省青少年田径纪录项数多着名次前列，如仍相等，则依次按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获得第一名多者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名次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列前，依此类推。获得团体总分前八名的单位给予奖励。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设体育道德风尚奖。体育道德风尚奖按《海南省第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届运动会体育道德风尚奖评选办法》执行。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符合国家体育总局于2025年1月1日印发的《运动员技术等级标准》的，可申报运动员技术等级。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baseline"/>
        <w:outlineLvl w:val="9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  <w:t xml:space="preserve">    七、报名和报到</w:t>
      </w:r>
    </w:p>
    <w:p>
      <w:pPr>
        <w:keepNext w:val="0"/>
        <w:keepLines w:val="0"/>
        <w:pageBreakBefore w:val="0"/>
        <w:widowControl w:val="0"/>
        <w:tabs>
          <w:tab w:val="left" w:pos="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 xml:space="preserve">   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 xml:space="preserve"> （一）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参赛单位须于2026年  月  日前在省运会报名系统上（以补充通知为准）按相关要求报名，并须在报名期内将报名表打印一式二份，加盖单位公章后用EMS（中国邮政速递）分别寄到省旅文厅竞体处（联系人：程思远，电话：65220291，海口市白龙南路43号，邮编：570204）和琼海市旅文局（联系人：符式兴，电话：13976328852，地址：琼海市南门二路5号）。报名截止日后，系统将自动关闭，不再受理报名；逾期者或不提交者纸质报名表者，视为报名未确认，不予安排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（二）报到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1.各运动队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日到赛区报到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（具体报到时间和地点以补充通知为准）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2.各队报到时交纳保证金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元人民币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各队参赛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过程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中无严重违纪行为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赛后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全额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保证金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3.食宿由大会统一安排。运动队编内人员食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宿</w:t>
      </w:r>
      <w:r>
        <w:rPr>
          <w:rFonts w:hint="eastAsia" w:ascii="仿宋_GB2312" w:hAnsi="仿宋_GB2312" w:eastAsia="仿宋_GB2312" w:cs="仿宋_GB2312"/>
          <w:sz w:val="32"/>
          <w:szCs w:val="32"/>
        </w:rPr>
        <w:t>费每人每天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，不足部分由大会负责；参赛人员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往返差旅费自理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超编人员费用自理。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4.报到时运动队须提交健康证明（县级以上医院证明），运动员人身意外伤害保险复印件，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代表队参赛承诺书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证件不齐者不予参赛。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技术官员、裁判长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和裁判员等人员食宿、交通费用由组委会负责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日到赛区报到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（裁判员</w:t>
      </w:r>
      <w:r>
        <w:rPr>
          <w:rFonts w:hint="eastAsia" w:ascii="仿宋_GB2312" w:hAnsi="仿宋_GB2312" w:eastAsia="仿宋_GB2312" w:cs="仿宋_GB2312"/>
          <w:sz w:val="32"/>
          <w:szCs w:val="32"/>
        </w:rPr>
        <w:t>携带证书、证章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黑体" w:hAnsi="黑体" w:eastAsia="黑体" w:cs="黑体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sz w:val="32"/>
          <w:szCs w:val="32"/>
          <w:lang w:val="en" w:eastAsia="zh-CN"/>
        </w:rPr>
        <w:t>八、注意事项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  <w:t>（一）兴奋剂和性别检查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实行兴奋剂抽查，抽查人员名单由单项竞赛委员会决定，尿样送国家体育总局兴奋剂检测中心检查，检查和处罚按照国家体育总局、中国奥委会反兴奋剂委员会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和海南省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2.性别检查将根据国际组织有关规定，按照必须和必要的原则进行。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技术官员</w:t>
      </w:r>
      <w:bookmarkStart w:id="0" w:name="_GoBack"/>
      <w:bookmarkEnd w:id="0"/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裁判员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等技术官员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申诉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委员会由海南省旅游和文化广电体育厅统一选派。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本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规程内容如与《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海南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省第</w:t>
      </w:r>
      <w:r>
        <w:rPr>
          <w:rFonts w:hint="eastAsia" w:eastAsia="黑体" w:cs="Times New Roman"/>
          <w:b w:val="0"/>
          <w:bCs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届运动会竞赛规程总则》等文件有冲突之处，按《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海南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省第</w:t>
      </w:r>
      <w:r>
        <w:rPr>
          <w:rFonts w:hint="eastAsia" w:eastAsia="黑体" w:cs="Times New Roman"/>
          <w:b w:val="0"/>
          <w:bCs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届运动会竞赛规程总则》等文件执行。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9"/>
        <w:rPr>
          <w:rFonts w:hint="default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十、</w:t>
      </w:r>
      <w:r>
        <w:rPr>
          <w:rFonts w:eastAsia="黑体"/>
          <w:bCs/>
          <w:kern w:val="0"/>
          <w:sz w:val="32"/>
          <w:szCs w:val="32"/>
        </w:rPr>
        <w:t>本规程最终解释权属省旅游和文化广电体育厅。未尽事宜，另行通知。</w:t>
      </w:r>
      <w:r>
        <w:rPr>
          <w:rFonts w:hint="default" w:ascii="Times New Roman" w:hAnsi="Times New Roman" w:eastAsia="仿宋" w:cs="Times New Roman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件6-1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海南省第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届运动会田径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比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28"/>
          <w:sz w:val="36"/>
          <w:szCs w:val="36"/>
        </w:rPr>
        <w:t>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单位：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联系人：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领队：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教练员：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运动员（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女：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人，男：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人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） </w:t>
      </w: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</w:rPr>
        <w:t xml:space="preserve">                      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840"/>
        <w:gridCol w:w="795"/>
        <w:gridCol w:w="1616"/>
        <w:gridCol w:w="1369"/>
        <w:gridCol w:w="1005"/>
        <w:gridCol w:w="1134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组别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注册证号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07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369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firstLine="502" w:firstLineChars="157"/>
              <w:jc w:val="left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负责人签名：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单位盖章：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医务单位盖章：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年　 月　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女子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U20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U18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U16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组、男子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U20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男子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U18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男子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U16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顺序录入。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报名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sz w:val="28"/>
          <w:szCs w:val="28"/>
        </w:rPr>
        <w:t>接力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比</w:t>
      </w:r>
      <w:r>
        <w:rPr>
          <w:rFonts w:hint="eastAsia" w:ascii="仿宋_GB2312" w:hAnsi="仿宋_GB2312" w:eastAsia="仿宋_GB2312" w:cs="仿宋_GB2312"/>
          <w:sz w:val="28"/>
          <w:szCs w:val="28"/>
        </w:rPr>
        <w:t>赛的只需在报名表上填写性别及接力项目。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3.请在</w:t>
      </w:r>
      <w:r>
        <w:rPr>
          <w:rFonts w:hint="eastAsia" w:ascii="仿宋_GB2312" w:hAnsi="仿宋_GB2312" w:eastAsia="仿宋_GB2312" w:cs="仿宋_GB2312"/>
          <w:sz w:val="28"/>
          <w:szCs w:val="28"/>
        </w:rPr>
        <w:t>领队、教练员名单后注明性别。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4.如填写不完，可附页填写。</w:t>
      </w: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件6-2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海南省第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届运动会田径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比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28"/>
          <w:sz w:val="44"/>
          <w:szCs w:val="44"/>
        </w:rPr>
        <w:t>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代表队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参赛承诺书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海南省第</w:t>
      </w:r>
      <w:r>
        <w:rPr>
          <w:rFonts w:hint="eastAsia" w:eastAsia="仿宋_GB2312" w:cs="Times New Roman"/>
          <w:b w:val="0"/>
          <w:bCs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届运动会田径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项目比</w:t>
      </w:r>
      <w:r>
        <w:rPr>
          <w:rFonts w:hint="default" w:ascii="Times New Roman" w:hAnsi="Times New Roman" w:eastAsia="仿宋_GB2312" w:cs="Times New Roman"/>
          <w:b w:val="0"/>
          <w:bCs/>
          <w:kern w:val="28"/>
          <w:sz w:val="32"/>
          <w:szCs w:val="32"/>
        </w:rPr>
        <w:t>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组委会：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我们承诺：参加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海南省第</w:t>
      </w:r>
      <w:r>
        <w:rPr>
          <w:rFonts w:hint="eastAsia" w:eastAsia="仿宋_GB2312" w:cs="Times New Roman"/>
          <w:b w:val="0"/>
          <w:bCs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届运动会田径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项目比</w:t>
      </w:r>
      <w:r>
        <w:rPr>
          <w:rFonts w:hint="default" w:ascii="Times New Roman" w:hAnsi="Times New Roman" w:eastAsia="仿宋_GB2312" w:cs="Times New Roman"/>
          <w:b w:val="0"/>
          <w:bCs/>
          <w:kern w:val="28"/>
          <w:sz w:val="32"/>
          <w:szCs w:val="32"/>
        </w:rPr>
        <w:t>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的运动员，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在参赛期间决不服用兴奋剂，不采用违禁手段；严格遵守赛风赛纪，尊重裁判，尊重对手，公平竞赛，不消极比赛。遵守法律法规及大会各项要求。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我们保证我队参赛运动员身体健康，没有重大疾病，在比赛期间如出现突发重大疾病和人身伤亡，由各代表队自行负责。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60" w:leftChars="2600" w:right="840" w:rightChars="40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参赛单位：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盖章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60" w:leftChars="2600" w:right="840" w:rightChars="40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60" w:leftChars="2600" w:right="840" w:rightChars="40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领队签字：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0" w:leftChars="3000" w:right="420" w:right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0" w:leftChars="3000" w:right="420" w:right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日</w:t>
      </w:r>
    </w:p>
    <w:sectPr>
      <w:footerReference r:id="rId4" w:type="default"/>
      <w:headerReference r:id="rId3" w:type="even"/>
      <w:footerReference r:id="rId5" w:type="even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eastAsia="宋体"/>
        <w:sz w:val="28"/>
        <w:szCs w:val="2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both"/>
      <w:rPr>
        <w:rFonts w:hint="eastAsia" w:eastAsia="宋体"/>
        <w:sz w:val="28"/>
        <w:szCs w:val="28"/>
        <w:lang w:eastAsia="zh-CN"/>
      </w:rPr>
    </w:pPr>
    <w:r>
      <w:rPr>
        <w:rFonts w:hint="eastAsia"/>
        <w:sz w:val="28"/>
        <w:szCs w:val="28"/>
        <w:lang w:eastAsia="zh-CN"/>
      </w:rPr>
      <w:t xml:space="preserve">- </w:t>
    </w:r>
    <w:r>
      <w:rPr>
        <w:rFonts w:hint="eastAsia"/>
        <w:sz w:val="28"/>
        <w:szCs w:val="28"/>
        <w:lang w:eastAsia="zh-CN"/>
      </w:rPr>
      <w:fldChar w:fldCharType="begin"/>
    </w:r>
    <w:r>
      <w:rPr>
        <w:rFonts w:hint="eastAsia"/>
        <w:sz w:val="28"/>
        <w:szCs w:val="28"/>
        <w:lang w:eastAsia="zh-CN"/>
      </w:rPr>
      <w:instrText xml:space="preserve"> PAGE  \* MERGEFORMAT </w:instrText>
    </w:r>
    <w:r>
      <w:rPr>
        <w:rFonts w:hint="eastAsia"/>
        <w:sz w:val="28"/>
        <w:szCs w:val="28"/>
        <w:lang w:eastAsia="zh-CN"/>
      </w:rPr>
      <w:fldChar w:fldCharType="separate"/>
    </w:r>
    <w:r>
      <w:rPr>
        <w:sz w:val="28"/>
        <w:szCs w:val="28"/>
      </w:rPr>
      <w:t>2</w:t>
    </w:r>
    <w:r>
      <w:rPr>
        <w:rFonts w:hint="eastAsia"/>
        <w:sz w:val="28"/>
        <w:szCs w:val="28"/>
        <w:lang w:eastAsia="zh-CN"/>
      </w:rPr>
      <w:fldChar w:fldCharType="end"/>
    </w:r>
    <w:r>
      <w:rPr>
        <w:rFonts w:hint="eastAsia"/>
        <w:sz w:val="28"/>
        <w:szCs w:val="28"/>
        <w:lang w:eastAsia="zh-CN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6DD48E"/>
    <w:multiLevelType w:val="multilevel"/>
    <w:tmpl w:val="F76DD48E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YmExZTVlMjMyNGMxNTkxZGRjZjA5M2MyNTAxN2QifQ=="/>
  </w:docVars>
  <w:rsids>
    <w:rsidRoot w:val="7DFFC6E2"/>
    <w:rsid w:val="163A4181"/>
    <w:rsid w:val="1AFFA416"/>
    <w:rsid w:val="212A605A"/>
    <w:rsid w:val="277F95CB"/>
    <w:rsid w:val="2F129D81"/>
    <w:rsid w:val="2FFDE269"/>
    <w:rsid w:val="373C9659"/>
    <w:rsid w:val="37FF9EC0"/>
    <w:rsid w:val="3F1D7735"/>
    <w:rsid w:val="3FF1B87E"/>
    <w:rsid w:val="53A26BD1"/>
    <w:rsid w:val="5E6EC30B"/>
    <w:rsid w:val="5FB596C5"/>
    <w:rsid w:val="75E1F093"/>
    <w:rsid w:val="766FA422"/>
    <w:rsid w:val="76FDE7FA"/>
    <w:rsid w:val="77F73246"/>
    <w:rsid w:val="77FE474E"/>
    <w:rsid w:val="79AF6105"/>
    <w:rsid w:val="7AF9F827"/>
    <w:rsid w:val="7B5F858D"/>
    <w:rsid w:val="7BBAE682"/>
    <w:rsid w:val="7C6E9FDC"/>
    <w:rsid w:val="7DFD2A56"/>
    <w:rsid w:val="7DFFC6E2"/>
    <w:rsid w:val="7EE8C0FA"/>
    <w:rsid w:val="7FFB304F"/>
    <w:rsid w:val="7FFD028C"/>
    <w:rsid w:val="8FAD4108"/>
    <w:rsid w:val="9E4936EA"/>
    <w:rsid w:val="AECB2C05"/>
    <w:rsid w:val="AF6F9163"/>
    <w:rsid w:val="B2FF4D4C"/>
    <w:rsid w:val="B6FED4F7"/>
    <w:rsid w:val="B9FD495C"/>
    <w:rsid w:val="BDF1671A"/>
    <w:rsid w:val="BFDD8D24"/>
    <w:rsid w:val="BFFFB389"/>
    <w:rsid w:val="BFFFBDB3"/>
    <w:rsid w:val="CC94194E"/>
    <w:rsid w:val="D77FE40A"/>
    <w:rsid w:val="D7F78387"/>
    <w:rsid w:val="DB4717F5"/>
    <w:rsid w:val="DBD374CF"/>
    <w:rsid w:val="DEF51C05"/>
    <w:rsid w:val="DF2E5BDF"/>
    <w:rsid w:val="DFDBC363"/>
    <w:rsid w:val="E7FF2A9C"/>
    <w:rsid w:val="E9FF1233"/>
    <w:rsid w:val="EF972EFC"/>
    <w:rsid w:val="F1FDDFF5"/>
    <w:rsid w:val="F3F9C9A1"/>
    <w:rsid w:val="F5FDF476"/>
    <w:rsid w:val="F6EF8E74"/>
    <w:rsid w:val="F7AC9B4C"/>
    <w:rsid w:val="F7ADA455"/>
    <w:rsid w:val="F7F7D9FB"/>
    <w:rsid w:val="F8E73A35"/>
    <w:rsid w:val="FBCF0270"/>
    <w:rsid w:val="FD3B572B"/>
    <w:rsid w:val="FDF57AA7"/>
    <w:rsid w:val="FEFB111F"/>
    <w:rsid w:val="FEFFB01A"/>
    <w:rsid w:val="FF7F92CA"/>
    <w:rsid w:val="FF7FBE50"/>
    <w:rsid w:val="FFE7BD99"/>
    <w:rsid w:val="FFFB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spacing w:before="0" w:beforeAutospacing="1" w:after="0" w:afterAutospacing="1" w:line="680" w:lineRule="exact"/>
      <w:jc w:val="left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ind w:firstLine="880" w:firstLineChars="200"/>
      <w:jc w:val="left"/>
      <w:outlineLvl w:val="1"/>
    </w:pPr>
    <w:rPr>
      <w:rFonts w:hint="eastAsia" w:ascii="宋体" w:hAnsi="宋体" w:eastAsia="黑体" w:cs="宋体"/>
      <w:bCs/>
      <w:kern w:val="0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firstLine="400" w:firstLineChars="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 w:firstLineChars="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黑体"/>
      <w:kern w:val="44"/>
      <w:sz w:val="32"/>
    </w:rPr>
  </w:style>
  <w:style w:type="paragraph" w:customStyle="1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3174</Words>
  <Characters>3534</Characters>
  <Lines>0</Lines>
  <Paragraphs>0</Paragraphs>
  <TotalTime>0</TotalTime>
  <ScaleCrop>false</ScaleCrop>
  <LinksUpToDate>false</LinksUpToDate>
  <CharactersWithSpaces>3696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2025-11-25T23:22:00Z</dcterms:created>
  <dc:creator>user</dc:creator>
  <cp:lastModifiedBy>user</cp:lastModifiedBy>
  <dcterms:modified xsi:type="dcterms:W3CDTF">2026-01-04T17:03:06Z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69A071BAB5F24E6DBA70FBC9E7A5ABB9_13</vt:lpwstr>
  </property>
  <property fmtid="{D5CDD505-2E9C-101B-9397-08002B2CF9AE}" pid="4" name="KSOTemplateDocerSaveRecord">
    <vt:lpwstr>eyJoZGlkIjoiM2MzZWQyYzQzYzM5ODBhNmM3YzNhM2UxYjA3ZTAzMWYiLCJ1c2VySWQiOiIyNjE2MDkzMzEifQ==</vt:lpwstr>
  </property>
</Properties>
</file>